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D0D325" w14:textId="77777777" w:rsidR="001836B6" w:rsidRDefault="001836B6" w:rsidP="001836B6">
      <w:pPr>
        <w:spacing w:after="0"/>
        <w:ind w:left="360" w:hanging="360"/>
        <w:jc w:val="center"/>
        <w:rPr>
          <w:rFonts w:cs="Times New Roman"/>
          <w:b/>
        </w:rPr>
      </w:pPr>
      <w:r w:rsidRPr="000D1432">
        <w:rPr>
          <w:rFonts w:cs="Times New Roman"/>
          <w:b/>
        </w:rPr>
        <w:t>Hazards and Natural Capital</w:t>
      </w:r>
      <w:r>
        <w:rPr>
          <w:rFonts w:cs="Times New Roman"/>
          <w:b/>
        </w:rPr>
        <w:t xml:space="preserve"> (HANC)</w:t>
      </w:r>
      <w:r w:rsidRPr="000D1432">
        <w:rPr>
          <w:rFonts w:cs="Times New Roman"/>
          <w:b/>
        </w:rPr>
        <w:t xml:space="preserve"> Interagency Working Group </w:t>
      </w:r>
    </w:p>
    <w:p w14:paraId="118D88DA" w14:textId="77777777" w:rsidR="001836B6" w:rsidRDefault="001836B6" w:rsidP="001836B6">
      <w:pPr>
        <w:spacing w:after="0"/>
        <w:ind w:left="360" w:hanging="360"/>
        <w:jc w:val="center"/>
        <w:rPr>
          <w:rFonts w:cs="Times New Roman"/>
          <w:b/>
        </w:rPr>
      </w:pPr>
      <w:r>
        <w:rPr>
          <w:rFonts w:cs="Times New Roman"/>
          <w:b/>
        </w:rPr>
        <w:t>Meeting Notes – November 21, 2023</w:t>
      </w:r>
    </w:p>
    <w:p w14:paraId="672A6659" w14:textId="77777777" w:rsidR="001836B6" w:rsidRDefault="001836B6" w:rsidP="007D145C">
      <w:pPr>
        <w:rPr>
          <w:rFonts w:cs="Times New Roman"/>
          <w:szCs w:val="24"/>
          <w:u w:val="single"/>
        </w:rPr>
      </w:pPr>
    </w:p>
    <w:p w14:paraId="3E605143" w14:textId="77777777" w:rsidR="007D145C" w:rsidRDefault="007D145C" w:rsidP="007D145C">
      <w:pPr>
        <w:rPr>
          <w:rFonts w:cs="Times New Roman"/>
          <w:szCs w:val="24"/>
        </w:rPr>
      </w:pPr>
      <w:r w:rsidRPr="009462BE">
        <w:rPr>
          <w:rFonts w:cs="Times New Roman"/>
          <w:szCs w:val="24"/>
          <w:u w:val="single"/>
        </w:rPr>
        <w:t>Present</w:t>
      </w:r>
      <w:r w:rsidRPr="00F562B2">
        <w:rPr>
          <w:rFonts w:cs="Times New Roman"/>
          <w:szCs w:val="24"/>
        </w:rPr>
        <w:t>:</w:t>
      </w:r>
      <w:r w:rsidRPr="009462BE">
        <w:rPr>
          <w:rFonts w:cs="Times New Roman"/>
          <w:szCs w:val="24"/>
        </w:rPr>
        <w:t xml:space="preserve"> </w:t>
      </w:r>
      <w:r w:rsidRPr="0062334D">
        <w:rPr>
          <w:rFonts w:cs="Times New Roman"/>
          <w:szCs w:val="24"/>
          <w:highlight w:val="yellow"/>
        </w:rPr>
        <w:t>highlighted</w:t>
      </w:r>
      <w:r>
        <w:rPr>
          <w:rFonts w:cs="Times New Roman"/>
          <w:szCs w:val="24"/>
        </w:rPr>
        <w:t xml:space="preserve"> = in attendance</w:t>
      </w:r>
    </w:p>
    <w:p w14:paraId="1746A829" w14:textId="77777777" w:rsidR="007D145C" w:rsidRDefault="007D145C" w:rsidP="007D145C">
      <w:pPr>
        <w:rPr>
          <w:b/>
          <w:bCs/>
        </w:rPr>
      </w:pPr>
      <w:r>
        <w:rPr>
          <w:b/>
          <w:bCs/>
        </w:rPr>
        <w:t>HANC IWG Roster</w:t>
      </w:r>
    </w:p>
    <w:tbl>
      <w:tblPr>
        <w:tblStyle w:val="TableGrid"/>
        <w:tblW w:w="0" w:type="auto"/>
        <w:tblLook w:val="04A0" w:firstRow="1" w:lastRow="0" w:firstColumn="1" w:lastColumn="0" w:noHBand="0" w:noVBand="1"/>
      </w:tblPr>
      <w:tblGrid>
        <w:gridCol w:w="2337"/>
        <w:gridCol w:w="2337"/>
        <w:gridCol w:w="2338"/>
        <w:gridCol w:w="2338"/>
      </w:tblGrid>
      <w:tr w:rsidR="007D145C" w14:paraId="4CAA9888" w14:textId="77777777" w:rsidTr="00F256DF">
        <w:tc>
          <w:tcPr>
            <w:tcW w:w="2337" w:type="dxa"/>
            <w:tcBorders>
              <w:top w:val="single" w:sz="4" w:space="0" w:color="auto"/>
              <w:left w:val="single" w:sz="4" w:space="0" w:color="auto"/>
              <w:bottom w:val="single" w:sz="4" w:space="0" w:color="auto"/>
              <w:right w:val="single" w:sz="4" w:space="0" w:color="auto"/>
            </w:tcBorders>
            <w:vAlign w:val="bottom"/>
            <w:hideMark/>
          </w:tcPr>
          <w:p w14:paraId="6FB9130A" w14:textId="77777777" w:rsidR="007D145C" w:rsidRDefault="007D145C" w:rsidP="00F256DF">
            <w:pPr>
              <w:rPr>
                <w:b/>
                <w:bCs/>
              </w:rPr>
            </w:pPr>
            <w:r>
              <w:rPr>
                <w:rFonts w:ascii="Calibri" w:eastAsia="Times New Roman" w:hAnsi="Calibri" w:cs="Calibri"/>
                <w:b/>
                <w:bCs/>
                <w:color w:val="000000"/>
              </w:rPr>
              <w:t>Agency</w:t>
            </w:r>
          </w:p>
        </w:tc>
        <w:tc>
          <w:tcPr>
            <w:tcW w:w="2337" w:type="dxa"/>
            <w:tcBorders>
              <w:top w:val="single" w:sz="4" w:space="0" w:color="auto"/>
              <w:left w:val="single" w:sz="4" w:space="0" w:color="auto"/>
              <w:bottom w:val="single" w:sz="4" w:space="0" w:color="auto"/>
              <w:right w:val="single" w:sz="4" w:space="0" w:color="auto"/>
            </w:tcBorders>
            <w:vAlign w:val="bottom"/>
            <w:hideMark/>
          </w:tcPr>
          <w:p w14:paraId="0D909AED" w14:textId="77777777" w:rsidR="007D145C" w:rsidRDefault="007D145C" w:rsidP="00F256DF">
            <w:pPr>
              <w:rPr>
                <w:b/>
                <w:bCs/>
              </w:rPr>
            </w:pPr>
            <w:r>
              <w:rPr>
                <w:rFonts w:ascii="Calibri" w:eastAsia="Times New Roman" w:hAnsi="Calibri" w:cs="Calibri"/>
                <w:b/>
                <w:bCs/>
                <w:color w:val="000000"/>
              </w:rPr>
              <w:t>Name</w:t>
            </w:r>
          </w:p>
        </w:tc>
        <w:tc>
          <w:tcPr>
            <w:tcW w:w="2338" w:type="dxa"/>
            <w:tcBorders>
              <w:top w:val="single" w:sz="4" w:space="0" w:color="auto"/>
              <w:left w:val="single" w:sz="4" w:space="0" w:color="auto"/>
              <w:bottom w:val="single" w:sz="4" w:space="0" w:color="auto"/>
              <w:right w:val="single" w:sz="4" w:space="0" w:color="auto"/>
            </w:tcBorders>
            <w:vAlign w:val="bottom"/>
            <w:hideMark/>
          </w:tcPr>
          <w:p w14:paraId="1B79F958" w14:textId="77777777" w:rsidR="007D145C" w:rsidRDefault="007D145C" w:rsidP="00F256DF">
            <w:pPr>
              <w:rPr>
                <w:b/>
                <w:bCs/>
              </w:rPr>
            </w:pPr>
            <w:r>
              <w:rPr>
                <w:rFonts w:ascii="Calibri" w:eastAsia="Times New Roman" w:hAnsi="Calibri" w:cs="Calibri"/>
                <w:b/>
                <w:bCs/>
                <w:color w:val="000000"/>
              </w:rPr>
              <w:t>Agency</w:t>
            </w:r>
          </w:p>
        </w:tc>
        <w:tc>
          <w:tcPr>
            <w:tcW w:w="2338" w:type="dxa"/>
            <w:tcBorders>
              <w:top w:val="single" w:sz="4" w:space="0" w:color="auto"/>
              <w:left w:val="single" w:sz="4" w:space="0" w:color="auto"/>
              <w:bottom w:val="single" w:sz="4" w:space="0" w:color="auto"/>
              <w:right w:val="single" w:sz="4" w:space="0" w:color="auto"/>
            </w:tcBorders>
            <w:vAlign w:val="bottom"/>
            <w:hideMark/>
          </w:tcPr>
          <w:p w14:paraId="76CAFD79" w14:textId="77777777" w:rsidR="007D145C" w:rsidRDefault="007D145C" w:rsidP="00F256DF">
            <w:pPr>
              <w:rPr>
                <w:b/>
                <w:bCs/>
              </w:rPr>
            </w:pPr>
            <w:r>
              <w:rPr>
                <w:rFonts w:ascii="Calibri" w:eastAsia="Times New Roman" w:hAnsi="Calibri" w:cs="Calibri"/>
                <w:b/>
                <w:bCs/>
                <w:color w:val="000000"/>
              </w:rPr>
              <w:t>Name</w:t>
            </w:r>
          </w:p>
        </w:tc>
      </w:tr>
      <w:tr w:rsidR="007D145C" w14:paraId="51ECD6FD" w14:textId="77777777" w:rsidTr="00F256DF">
        <w:tc>
          <w:tcPr>
            <w:tcW w:w="2337" w:type="dxa"/>
            <w:tcBorders>
              <w:top w:val="single" w:sz="4" w:space="0" w:color="auto"/>
              <w:left w:val="single" w:sz="4" w:space="0" w:color="auto"/>
              <w:bottom w:val="single" w:sz="4" w:space="0" w:color="auto"/>
              <w:right w:val="single" w:sz="4" w:space="0" w:color="auto"/>
            </w:tcBorders>
            <w:vAlign w:val="bottom"/>
            <w:hideMark/>
          </w:tcPr>
          <w:p w14:paraId="0580AB59" w14:textId="77777777" w:rsidR="007D145C" w:rsidRDefault="007D145C" w:rsidP="00F256DF">
            <w:pPr>
              <w:rPr>
                <w:b/>
                <w:bCs/>
              </w:rPr>
            </w:pPr>
            <w:r>
              <w:rPr>
                <w:rFonts w:ascii="Calibri" w:eastAsia="Times New Roman" w:hAnsi="Calibri" w:cs="Calibri"/>
                <w:color w:val="000000"/>
              </w:rPr>
              <w:t>BEA</w:t>
            </w:r>
          </w:p>
        </w:tc>
        <w:tc>
          <w:tcPr>
            <w:tcW w:w="2337" w:type="dxa"/>
            <w:tcBorders>
              <w:top w:val="single" w:sz="4" w:space="0" w:color="auto"/>
              <w:left w:val="single" w:sz="4" w:space="0" w:color="auto"/>
              <w:bottom w:val="single" w:sz="4" w:space="0" w:color="auto"/>
              <w:right w:val="single" w:sz="4" w:space="0" w:color="auto"/>
            </w:tcBorders>
            <w:vAlign w:val="bottom"/>
            <w:hideMark/>
          </w:tcPr>
          <w:p w14:paraId="3FEA4B85" w14:textId="77777777" w:rsidR="007D145C" w:rsidRPr="007D145C" w:rsidRDefault="007D145C" w:rsidP="00F256DF">
            <w:pPr>
              <w:rPr>
                <w:b/>
                <w:bCs/>
              </w:rPr>
            </w:pPr>
            <w:r w:rsidRPr="007D145C">
              <w:rPr>
                <w:rFonts w:ascii="Calibri" w:eastAsia="Times New Roman" w:hAnsi="Calibri" w:cs="Calibri"/>
                <w:color w:val="000000"/>
                <w:highlight w:val="yellow"/>
              </w:rPr>
              <w:t>Matthew Chambers</w:t>
            </w:r>
          </w:p>
        </w:tc>
        <w:tc>
          <w:tcPr>
            <w:tcW w:w="2338" w:type="dxa"/>
            <w:tcBorders>
              <w:top w:val="single" w:sz="4" w:space="0" w:color="auto"/>
              <w:left w:val="single" w:sz="4" w:space="0" w:color="auto"/>
              <w:bottom w:val="single" w:sz="4" w:space="0" w:color="auto"/>
              <w:right w:val="single" w:sz="4" w:space="0" w:color="auto"/>
            </w:tcBorders>
            <w:vAlign w:val="bottom"/>
            <w:hideMark/>
          </w:tcPr>
          <w:p w14:paraId="5E929521" w14:textId="77777777" w:rsidR="007D145C" w:rsidRPr="007D145C" w:rsidRDefault="007D145C" w:rsidP="00F256DF">
            <w:pPr>
              <w:rPr>
                <w:b/>
                <w:bCs/>
              </w:rPr>
            </w:pPr>
            <w:r w:rsidRPr="007D145C">
              <w:rPr>
                <w:rFonts w:ascii="Calibri" w:eastAsia="Times New Roman" w:hAnsi="Calibri" w:cs="Calibri"/>
                <w:color w:val="000000"/>
              </w:rPr>
              <w:t>NOAA</w:t>
            </w:r>
          </w:p>
        </w:tc>
        <w:tc>
          <w:tcPr>
            <w:tcW w:w="2338" w:type="dxa"/>
            <w:tcBorders>
              <w:top w:val="single" w:sz="4" w:space="0" w:color="auto"/>
              <w:left w:val="single" w:sz="4" w:space="0" w:color="auto"/>
              <w:bottom w:val="single" w:sz="4" w:space="0" w:color="auto"/>
              <w:right w:val="single" w:sz="4" w:space="0" w:color="auto"/>
            </w:tcBorders>
            <w:vAlign w:val="bottom"/>
            <w:hideMark/>
          </w:tcPr>
          <w:p w14:paraId="2E145DF0" w14:textId="77777777" w:rsidR="007D145C" w:rsidRPr="007D145C" w:rsidRDefault="007D145C" w:rsidP="00F256DF">
            <w:pPr>
              <w:rPr>
                <w:b/>
                <w:bCs/>
              </w:rPr>
            </w:pPr>
            <w:r w:rsidRPr="007D145C">
              <w:rPr>
                <w:rFonts w:ascii="Calibri" w:eastAsia="Times New Roman" w:hAnsi="Calibri" w:cs="Calibri"/>
                <w:color w:val="000000"/>
                <w:highlight w:val="yellow"/>
              </w:rPr>
              <w:t>Adam Smith</w:t>
            </w:r>
          </w:p>
        </w:tc>
      </w:tr>
      <w:tr w:rsidR="007D145C" w14:paraId="2D5E606A" w14:textId="77777777" w:rsidTr="00F256DF">
        <w:tc>
          <w:tcPr>
            <w:tcW w:w="2337" w:type="dxa"/>
            <w:tcBorders>
              <w:top w:val="single" w:sz="4" w:space="0" w:color="auto"/>
              <w:left w:val="single" w:sz="4" w:space="0" w:color="auto"/>
              <w:bottom w:val="single" w:sz="4" w:space="0" w:color="auto"/>
              <w:right w:val="single" w:sz="4" w:space="0" w:color="auto"/>
            </w:tcBorders>
            <w:vAlign w:val="bottom"/>
            <w:hideMark/>
          </w:tcPr>
          <w:p w14:paraId="1EE107D8" w14:textId="77777777" w:rsidR="007D145C" w:rsidRDefault="007D145C" w:rsidP="00F256DF">
            <w:pPr>
              <w:rPr>
                <w:b/>
                <w:bCs/>
              </w:rPr>
            </w:pPr>
            <w:r>
              <w:rPr>
                <w:rFonts w:ascii="Calibri" w:eastAsia="Times New Roman" w:hAnsi="Calibri" w:cs="Calibri"/>
                <w:color w:val="000000"/>
              </w:rPr>
              <w:t>Census</w:t>
            </w:r>
          </w:p>
        </w:tc>
        <w:tc>
          <w:tcPr>
            <w:tcW w:w="2337" w:type="dxa"/>
            <w:tcBorders>
              <w:top w:val="single" w:sz="4" w:space="0" w:color="auto"/>
              <w:left w:val="single" w:sz="4" w:space="0" w:color="auto"/>
              <w:bottom w:val="single" w:sz="4" w:space="0" w:color="auto"/>
              <w:right w:val="single" w:sz="4" w:space="0" w:color="auto"/>
            </w:tcBorders>
            <w:vAlign w:val="bottom"/>
            <w:hideMark/>
          </w:tcPr>
          <w:p w14:paraId="7DAAA135" w14:textId="77777777" w:rsidR="007D145C" w:rsidRPr="007D145C" w:rsidRDefault="007D145C" w:rsidP="00F256DF">
            <w:pPr>
              <w:rPr>
                <w:b/>
                <w:bCs/>
              </w:rPr>
            </w:pPr>
            <w:r w:rsidRPr="007D145C">
              <w:rPr>
                <w:rFonts w:ascii="Calibri" w:eastAsia="Times New Roman" w:hAnsi="Calibri" w:cs="Calibri"/>
                <w:color w:val="000000"/>
                <w:highlight w:val="yellow"/>
              </w:rPr>
              <w:t>John Voorheis</w:t>
            </w:r>
          </w:p>
        </w:tc>
        <w:tc>
          <w:tcPr>
            <w:tcW w:w="2338" w:type="dxa"/>
            <w:tcBorders>
              <w:top w:val="single" w:sz="4" w:space="0" w:color="auto"/>
              <w:left w:val="single" w:sz="4" w:space="0" w:color="auto"/>
              <w:bottom w:val="single" w:sz="4" w:space="0" w:color="auto"/>
              <w:right w:val="single" w:sz="4" w:space="0" w:color="auto"/>
            </w:tcBorders>
            <w:vAlign w:val="bottom"/>
            <w:hideMark/>
          </w:tcPr>
          <w:p w14:paraId="02137098" w14:textId="77777777" w:rsidR="007D145C" w:rsidRPr="007D145C" w:rsidRDefault="007D145C" w:rsidP="00F256DF">
            <w:pPr>
              <w:rPr>
                <w:b/>
                <w:bCs/>
              </w:rPr>
            </w:pPr>
            <w:r w:rsidRPr="007D145C">
              <w:rPr>
                <w:rFonts w:ascii="Calibri" w:eastAsia="Times New Roman" w:hAnsi="Calibri" w:cs="Calibri"/>
                <w:color w:val="000000"/>
              </w:rPr>
              <w:t>OSTP</w:t>
            </w:r>
          </w:p>
        </w:tc>
        <w:tc>
          <w:tcPr>
            <w:tcW w:w="2338" w:type="dxa"/>
            <w:tcBorders>
              <w:top w:val="single" w:sz="4" w:space="0" w:color="auto"/>
              <w:left w:val="single" w:sz="4" w:space="0" w:color="auto"/>
              <w:bottom w:val="single" w:sz="4" w:space="0" w:color="auto"/>
              <w:right w:val="single" w:sz="4" w:space="0" w:color="auto"/>
            </w:tcBorders>
            <w:vAlign w:val="bottom"/>
            <w:hideMark/>
          </w:tcPr>
          <w:p w14:paraId="46AB0740" w14:textId="77777777" w:rsidR="007D145C" w:rsidRPr="007D145C" w:rsidRDefault="007D145C" w:rsidP="00F256DF">
            <w:pPr>
              <w:rPr>
                <w:b/>
                <w:bCs/>
              </w:rPr>
            </w:pPr>
            <w:r w:rsidRPr="007D145C">
              <w:rPr>
                <w:rFonts w:ascii="Calibri" w:eastAsia="Times New Roman" w:hAnsi="Calibri" w:cs="Calibri"/>
                <w:color w:val="000000"/>
                <w:highlight w:val="yellow"/>
              </w:rPr>
              <w:t>Kris Ludwig*</w:t>
            </w:r>
          </w:p>
        </w:tc>
      </w:tr>
      <w:tr w:rsidR="007D145C" w14:paraId="74C007FC" w14:textId="77777777" w:rsidTr="00F256DF">
        <w:tc>
          <w:tcPr>
            <w:tcW w:w="2337" w:type="dxa"/>
            <w:tcBorders>
              <w:top w:val="single" w:sz="4" w:space="0" w:color="auto"/>
              <w:left w:val="single" w:sz="4" w:space="0" w:color="auto"/>
              <w:bottom w:val="single" w:sz="4" w:space="0" w:color="auto"/>
              <w:right w:val="single" w:sz="4" w:space="0" w:color="auto"/>
            </w:tcBorders>
            <w:vAlign w:val="bottom"/>
            <w:hideMark/>
          </w:tcPr>
          <w:p w14:paraId="7A8C1A88" w14:textId="77777777" w:rsidR="007D145C" w:rsidRDefault="007D145C" w:rsidP="00F256DF">
            <w:pPr>
              <w:rPr>
                <w:b/>
                <w:bCs/>
              </w:rPr>
            </w:pPr>
            <w:r>
              <w:rPr>
                <w:rFonts w:ascii="Calibri" w:eastAsia="Times New Roman" w:hAnsi="Calibri" w:cs="Calibri"/>
                <w:color w:val="000000"/>
              </w:rPr>
              <w:t>Census</w:t>
            </w:r>
          </w:p>
        </w:tc>
        <w:tc>
          <w:tcPr>
            <w:tcW w:w="2337" w:type="dxa"/>
            <w:tcBorders>
              <w:top w:val="single" w:sz="4" w:space="0" w:color="auto"/>
              <w:left w:val="single" w:sz="4" w:space="0" w:color="auto"/>
              <w:bottom w:val="single" w:sz="4" w:space="0" w:color="auto"/>
              <w:right w:val="single" w:sz="4" w:space="0" w:color="auto"/>
            </w:tcBorders>
            <w:vAlign w:val="bottom"/>
            <w:hideMark/>
          </w:tcPr>
          <w:p w14:paraId="41E8257E" w14:textId="77777777" w:rsidR="007D145C" w:rsidRPr="007D145C" w:rsidRDefault="007D145C" w:rsidP="00F256DF">
            <w:pPr>
              <w:rPr>
                <w:b/>
                <w:bCs/>
              </w:rPr>
            </w:pPr>
            <w:r w:rsidRPr="007D145C">
              <w:rPr>
                <w:rFonts w:ascii="Calibri" w:eastAsia="Times New Roman" w:hAnsi="Calibri" w:cs="Calibri"/>
                <w:color w:val="000000"/>
              </w:rPr>
              <w:t>Chip Walker</w:t>
            </w:r>
          </w:p>
        </w:tc>
        <w:tc>
          <w:tcPr>
            <w:tcW w:w="2338" w:type="dxa"/>
            <w:tcBorders>
              <w:top w:val="single" w:sz="4" w:space="0" w:color="auto"/>
              <w:left w:val="single" w:sz="4" w:space="0" w:color="auto"/>
              <w:bottom w:val="single" w:sz="4" w:space="0" w:color="auto"/>
              <w:right w:val="single" w:sz="4" w:space="0" w:color="auto"/>
            </w:tcBorders>
            <w:vAlign w:val="bottom"/>
            <w:hideMark/>
          </w:tcPr>
          <w:p w14:paraId="226AEBE5" w14:textId="77777777" w:rsidR="007D145C" w:rsidRPr="007D145C" w:rsidRDefault="007D145C" w:rsidP="00F256DF">
            <w:pPr>
              <w:rPr>
                <w:b/>
                <w:bCs/>
              </w:rPr>
            </w:pPr>
            <w:r w:rsidRPr="007D145C">
              <w:rPr>
                <w:rFonts w:ascii="Calibri" w:eastAsia="Times New Roman" w:hAnsi="Calibri" w:cs="Calibri"/>
                <w:color w:val="000000"/>
              </w:rPr>
              <w:t>Treasury</w:t>
            </w:r>
          </w:p>
        </w:tc>
        <w:tc>
          <w:tcPr>
            <w:tcW w:w="2338" w:type="dxa"/>
            <w:tcBorders>
              <w:top w:val="single" w:sz="4" w:space="0" w:color="auto"/>
              <w:left w:val="single" w:sz="4" w:space="0" w:color="auto"/>
              <w:bottom w:val="single" w:sz="4" w:space="0" w:color="auto"/>
              <w:right w:val="single" w:sz="4" w:space="0" w:color="auto"/>
            </w:tcBorders>
            <w:vAlign w:val="bottom"/>
            <w:hideMark/>
          </w:tcPr>
          <w:p w14:paraId="4A0FC5A2" w14:textId="77777777" w:rsidR="007D145C" w:rsidRPr="007D145C" w:rsidRDefault="007D145C" w:rsidP="00F256DF">
            <w:pPr>
              <w:rPr>
                <w:b/>
                <w:bCs/>
                <w:highlight w:val="yellow"/>
              </w:rPr>
            </w:pPr>
            <w:r w:rsidRPr="007D145C">
              <w:rPr>
                <w:rFonts w:ascii="Calibri" w:eastAsia="Times New Roman" w:hAnsi="Calibri" w:cs="Calibri"/>
                <w:color w:val="000000"/>
                <w:highlight w:val="yellow"/>
              </w:rPr>
              <w:t>Andrew Martinez</w:t>
            </w:r>
          </w:p>
        </w:tc>
      </w:tr>
      <w:tr w:rsidR="007D145C" w14:paraId="6D72E617" w14:textId="77777777" w:rsidTr="00F256DF">
        <w:tc>
          <w:tcPr>
            <w:tcW w:w="2337" w:type="dxa"/>
            <w:tcBorders>
              <w:top w:val="single" w:sz="4" w:space="0" w:color="auto"/>
              <w:left w:val="single" w:sz="4" w:space="0" w:color="auto"/>
              <w:bottom w:val="single" w:sz="4" w:space="0" w:color="auto"/>
              <w:right w:val="single" w:sz="4" w:space="0" w:color="auto"/>
            </w:tcBorders>
            <w:vAlign w:val="bottom"/>
            <w:hideMark/>
          </w:tcPr>
          <w:p w14:paraId="4310483C" w14:textId="77777777" w:rsidR="007D145C" w:rsidRDefault="007D145C" w:rsidP="00F256DF">
            <w:pPr>
              <w:rPr>
                <w:b/>
                <w:bCs/>
              </w:rPr>
            </w:pPr>
            <w:r>
              <w:rPr>
                <w:rFonts w:ascii="Calibri" w:eastAsia="Times New Roman" w:hAnsi="Calibri" w:cs="Calibri"/>
                <w:color w:val="000000"/>
              </w:rPr>
              <w:t>EPA</w:t>
            </w:r>
          </w:p>
        </w:tc>
        <w:tc>
          <w:tcPr>
            <w:tcW w:w="2337" w:type="dxa"/>
            <w:tcBorders>
              <w:top w:val="single" w:sz="4" w:space="0" w:color="auto"/>
              <w:left w:val="single" w:sz="4" w:space="0" w:color="auto"/>
              <w:bottom w:val="single" w:sz="4" w:space="0" w:color="auto"/>
              <w:right w:val="single" w:sz="4" w:space="0" w:color="auto"/>
            </w:tcBorders>
            <w:vAlign w:val="bottom"/>
            <w:hideMark/>
          </w:tcPr>
          <w:p w14:paraId="79C4FE02" w14:textId="77777777" w:rsidR="007D145C" w:rsidRPr="007D145C" w:rsidRDefault="007D145C" w:rsidP="00F256DF">
            <w:pPr>
              <w:rPr>
                <w:b/>
                <w:bCs/>
              </w:rPr>
            </w:pPr>
            <w:r w:rsidRPr="007D145C">
              <w:rPr>
                <w:rFonts w:ascii="Calibri" w:eastAsia="Times New Roman" w:hAnsi="Calibri" w:cs="Calibri"/>
                <w:color w:val="000000"/>
              </w:rPr>
              <w:t>Marc Russell</w:t>
            </w:r>
          </w:p>
        </w:tc>
        <w:tc>
          <w:tcPr>
            <w:tcW w:w="2338" w:type="dxa"/>
            <w:tcBorders>
              <w:top w:val="single" w:sz="4" w:space="0" w:color="auto"/>
              <w:left w:val="single" w:sz="4" w:space="0" w:color="auto"/>
              <w:bottom w:val="single" w:sz="4" w:space="0" w:color="auto"/>
              <w:right w:val="single" w:sz="4" w:space="0" w:color="auto"/>
            </w:tcBorders>
            <w:vAlign w:val="bottom"/>
            <w:hideMark/>
          </w:tcPr>
          <w:p w14:paraId="01716562" w14:textId="77777777" w:rsidR="007D145C" w:rsidRPr="007D145C" w:rsidRDefault="007D145C" w:rsidP="00F256DF">
            <w:pPr>
              <w:rPr>
                <w:b/>
                <w:bCs/>
              </w:rPr>
            </w:pPr>
            <w:r w:rsidRPr="007D145C">
              <w:rPr>
                <w:rFonts w:ascii="Calibri" w:eastAsia="Times New Roman" w:hAnsi="Calibri" w:cs="Calibri"/>
                <w:color w:val="000000"/>
              </w:rPr>
              <w:t>USACE</w:t>
            </w:r>
          </w:p>
        </w:tc>
        <w:tc>
          <w:tcPr>
            <w:tcW w:w="2338" w:type="dxa"/>
            <w:tcBorders>
              <w:top w:val="single" w:sz="4" w:space="0" w:color="auto"/>
              <w:left w:val="single" w:sz="4" w:space="0" w:color="auto"/>
              <w:bottom w:val="single" w:sz="4" w:space="0" w:color="auto"/>
              <w:right w:val="single" w:sz="4" w:space="0" w:color="auto"/>
            </w:tcBorders>
            <w:vAlign w:val="bottom"/>
            <w:hideMark/>
          </w:tcPr>
          <w:p w14:paraId="5B90A1F6" w14:textId="77777777" w:rsidR="007D145C" w:rsidRPr="007D145C" w:rsidRDefault="007D145C" w:rsidP="00F256DF">
            <w:pPr>
              <w:rPr>
                <w:b/>
                <w:bCs/>
              </w:rPr>
            </w:pPr>
            <w:r w:rsidRPr="007D145C">
              <w:rPr>
                <w:rFonts w:ascii="Calibri" w:eastAsia="Times New Roman" w:hAnsi="Calibri" w:cs="Calibri"/>
                <w:color w:val="000000"/>
              </w:rPr>
              <w:t>Emma Ross</w:t>
            </w:r>
          </w:p>
        </w:tc>
      </w:tr>
      <w:tr w:rsidR="007D145C" w14:paraId="0206A49D" w14:textId="77777777" w:rsidTr="00F256DF">
        <w:tc>
          <w:tcPr>
            <w:tcW w:w="2337" w:type="dxa"/>
            <w:tcBorders>
              <w:top w:val="single" w:sz="4" w:space="0" w:color="auto"/>
              <w:left w:val="single" w:sz="4" w:space="0" w:color="auto"/>
              <w:bottom w:val="single" w:sz="4" w:space="0" w:color="auto"/>
              <w:right w:val="single" w:sz="4" w:space="0" w:color="auto"/>
            </w:tcBorders>
            <w:vAlign w:val="bottom"/>
            <w:hideMark/>
          </w:tcPr>
          <w:p w14:paraId="54184D58" w14:textId="77777777" w:rsidR="007D145C" w:rsidRDefault="007D145C" w:rsidP="00F256DF">
            <w:pPr>
              <w:rPr>
                <w:rFonts w:ascii="Calibri" w:eastAsia="Times New Roman" w:hAnsi="Calibri" w:cs="Calibri"/>
                <w:color w:val="000000"/>
              </w:rPr>
            </w:pPr>
            <w:r>
              <w:rPr>
                <w:rFonts w:ascii="Calibri" w:eastAsia="Times New Roman" w:hAnsi="Calibri" w:cs="Calibri"/>
                <w:color w:val="000000"/>
              </w:rPr>
              <w:t>DOI</w:t>
            </w:r>
          </w:p>
        </w:tc>
        <w:tc>
          <w:tcPr>
            <w:tcW w:w="2337" w:type="dxa"/>
            <w:tcBorders>
              <w:top w:val="single" w:sz="4" w:space="0" w:color="auto"/>
              <w:left w:val="single" w:sz="4" w:space="0" w:color="auto"/>
              <w:bottom w:val="single" w:sz="4" w:space="0" w:color="auto"/>
              <w:right w:val="single" w:sz="4" w:space="0" w:color="auto"/>
            </w:tcBorders>
            <w:vAlign w:val="bottom"/>
            <w:hideMark/>
          </w:tcPr>
          <w:p w14:paraId="682FD24C" w14:textId="77777777" w:rsidR="007D145C" w:rsidRPr="007D145C" w:rsidRDefault="007D145C" w:rsidP="00F256DF">
            <w:pPr>
              <w:rPr>
                <w:rFonts w:ascii="Calibri" w:eastAsia="Times New Roman" w:hAnsi="Calibri" w:cs="Calibri"/>
                <w:color w:val="000000"/>
              </w:rPr>
            </w:pPr>
            <w:r w:rsidRPr="007D145C">
              <w:rPr>
                <w:rFonts w:ascii="Calibri" w:eastAsia="Times New Roman" w:hAnsi="Calibri" w:cs="Calibri"/>
                <w:color w:val="000000"/>
              </w:rPr>
              <w:t>Christian Crowley</w:t>
            </w:r>
          </w:p>
        </w:tc>
        <w:tc>
          <w:tcPr>
            <w:tcW w:w="2338" w:type="dxa"/>
            <w:tcBorders>
              <w:top w:val="single" w:sz="4" w:space="0" w:color="auto"/>
              <w:left w:val="single" w:sz="4" w:space="0" w:color="auto"/>
              <w:bottom w:val="single" w:sz="4" w:space="0" w:color="auto"/>
              <w:right w:val="single" w:sz="4" w:space="0" w:color="auto"/>
            </w:tcBorders>
            <w:vAlign w:val="bottom"/>
            <w:hideMark/>
          </w:tcPr>
          <w:p w14:paraId="3396A8D0" w14:textId="77777777" w:rsidR="007D145C" w:rsidRPr="007D145C" w:rsidRDefault="007D145C" w:rsidP="00F256DF">
            <w:pPr>
              <w:rPr>
                <w:rFonts w:ascii="Calibri" w:eastAsia="Times New Roman" w:hAnsi="Calibri" w:cs="Calibri"/>
                <w:color w:val="000000"/>
              </w:rPr>
            </w:pPr>
            <w:r w:rsidRPr="007D145C">
              <w:rPr>
                <w:rFonts w:ascii="Calibri" w:eastAsia="Times New Roman" w:hAnsi="Calibri" w:cs="Calibri"/>
                <w:color w:val="000000"/>
              </w:rPr>
              <w:t>USDA</w:t>
            </w:r>
          </w:p>
        </w:tc>
        <w:tc>
          <w:tcPr>
            <w:tcW w:w="2338" w:type="dxa"/>
            <w:tcBorders>
              <w:top w:val="single" w:sz="4" w:space="0" w:color="auto"/>
              <w:left w:val="single" w:sz="4" w:space="0" w:color="auto"/>
              <w:bottom w:val="single" w:sz="4" w:space="0" w:color="auto"/>
              <w:right w:val="single" w:sz="4" w:space="0" w:color="auto"/>
            </w:tcBorders>
            <w:vAlign w:val="bottom"/>
            <w:hideMark/>
          </w:tcPr>
          <w:p w14:paraId="6EAD19C0" w14:textId="77777777" w:rsidR="007D145C" w:rsidRPr="007D145C" w:rsidRDefault="007D145C" w:rsidP="00F256DF">
            <w:pPr>
              <w:rPr>
                <w:rFonts w:ascii="Calibri" w:eastAsia="Times New Roman" w:hAnsi="Calibri" w:cs="Calibri"/>
                <w:color w:val="000000"/>
              </w:rPr>
            </w:pPr>
            <w:r w:rsidRPr="007D145C">
              <w:rPr>
                <w:rFonts w:ascii="Calibri" w:eastAsia="Times New Roman" w:hAnsi="Calibri" w:cs="Calibri"/>
                <w:color w:val="000000"/>
                <w:highlight w:val="yellow"/>
              </w:rPr>
              <w:t>Laura Paul</w:t>
            </w:r>
          </w:p>
        </w:tc>
      </w:tr>
      <w:tr w:rsidR="007D145C" w14:paraId="6F6731D6" w14:textId="77777777" w:rsidTr="00F256DF">
        <w:tc>
          <w:tcPr>
            <w:tcW w:w="2337" w:type="dxa"/>
            <w:tcBorders>
              <w:top w:val="single" w:sz="4" w:space="0" w:color="auto"/>
              <w:left w:val="single" w:sz="4" w:space="0" w:color="auto"/>
              <w:bottom w:val="single" w:sz="4" w:space="0" w:color="auto"/>
              <w:right w:val="single" w:sz="4" w:space="0" w:color="auto"/>
            </w:tcBorders>
            <w:vAlign w:val="bottom"/>
            <w:hideMark/>
          </w:tcPr>
          <w:p w14:paraId="454A72E7" w14:textId="77777777" w:rsidR="007D145C" w:rsidRDefault="007D145C" w:rsidP="00F256DF">
            <w:pPr>
              <w:rPr>
                <w:b/>
                <w:bCs/>
              </w:rPr>
            </w:pPr>
            <w:r>
              <w:rPr>
                <w:rFonts w:ascii="Calibri" w:eastAsia="Times New Roman" w:hAnsi="Calibri" w:cs="Calibri"/>
                <w:color w:val="000000"/>
              </w:rPr>
              <w:t>Federal Reserve Bank</w:t>
            </w:r>
          </w:p>
        </w:tc>
        <w:tc>
          <w:tcPr>
            <w:tcW w:w="2337" w:type="dxa"/>
            <w:tcBorders>
              <w:top w:val="single" w:sz="4" w:space="0" w:color="auto"/>
              <w:left w:val="single" w:sz="4" w:space="0" w:color="auto"/>
              <w:bottom w:val="single" w:sz="4" w:space="0" w:color="auto"/>
              <w:right w:val="single" w:sz="4" w:space="0" w:color="auto"/>
            </w:tcBorders>
            <w:vAlign w:val="bottom"/>
            <w:hideMark/>
          </w:tcPr>
          <w:p w14:paraId="4E7530B8" w14:textId="77777777" w:rsidR="007D145C" w:rsidRPr="007D145C" w:rsidRDefault="007D145C" w:rsidP="00F256DF">
            <w:pPr>
              <w:rPr>
                <w:b/>
                <w:bCs/>
              </w:rPr>
            </w:pPr>
            <w:r w:rsidRPr="007D145C">
              <w:rPr>
                <w:rFonts w:ascii="Calibri" w:eastAsia="Times New Roman" w:hAnsi="Calibri" w:cs="Calibri"/>
                <w:color w:val="000000"/>
                <w:highlight w:val="yellow"/>
              </w:rPr>
              <w:t>Leonard Nakamura</w:t>
            </w:r>
          </w:p>
        </w:tc>
        <w:tc>
          <w:tcPr>
            <w:tcW w:w="2338" w:type="dxa"/>
            <w:tcBorders>
              <w:top w:val="single" w:sz="4" w:space="0" w:color="auto"/>
              <w:left w:val="single" w:sz="4" w:space="0" w:color="auto"/>
              <w:bottom w:val="single" w:sz="4" w:space="0" w:color="auto"/>
              <w:right w:val="single" w:sz="4" w:space="0" w:color="auto"/>
            </w:tcBorders>
            <w:vAlign w:val="bottom"/>
            <w:hideMark/>
          </w:tcPr>
          <w:p w14:paraId="6367EEB5" w14:textId="77777777" w:rsidR="007D145C" w:rsidRPr="007D145C" w:rsidRDefault="007D145C" w:rsidP="00F256DF">
            <w:pPr>
              <w:rPr>
                <w:b/>
                <w:bCs/>
              </w:rPr>
            </w:pPr>
            <w:r w:rsidRPr="007D145C">
              <w:rPr>
                <w:rFonts w:ascii="Calibri" w:eastAsia="Times New Roman" w:hAnsi="Calibri" w:cs="Calibri"/>
                <w:color w:val="000000"/>
              </w:rPr>
              <w:t>USFS</w:t>
            </w:r>
          </w:p>
        </w:tc>
        <w:tc>
          <w:tcPr>
            <w:tcW w:w="2338" w:type="dxa"/>
            <w:tcBorders>
              <w:top w:val="single" w:sz="4" w:space="0" w:color="auto"/>
              <w:left w:val="single" w:sz="4" w:space="0" w:color="auto"/>
              <w:bottom w:val="single" w:sz="4" w:space="0" w:color="auto"/>
              <w:right w:val="single" w:sz="4" w:space="0" w:color="auto"/>
            </w:tcBorders>
            <w:vAlign w:val="bottom"/>
            <w:hideMark/>
          </w:tcPr>
          <w:p w14:paraId="776C4EB2" w14:textId="77777777" w:rsidR="007D145C" w:rsidRPr="007D145C" w:rsidRDefault="007D145C" w:rsidP="00F256DF">
            <w:pPr>
              <w:rPr>
                <w:b/>
                <w:bCs/>
              </w:rPr>
            </w:pPr>
            <w:r w:rsidRPr="007D145C">
              <w:rPr>
                <w:rFonts w:ascii="Calibri" w:eastAsia="Times New Roman" w:hAnsi="Calibri" w:cs="Calibri"/>
                <w:color w:val="000000"/>
              </w:rPr>
              <w:t>Tom Brandeis</w:t>
            </w:r>
          </w:p>
        </w:tc>
      </w:tr>
      <w:tr w:rsidR="007D145C" w14:paraId="4394E7E5" w14:textId="77777777" w:rsidTr="00F256DF">
        <w:tc>
          <w:tcPr>
            <w:tcW w:w="2337" w:type="dxa"/>
            <w:tcBorders>
              <w:top w:val="single" w:sz="4" w:space="0" w:color="auto"/>
              <w:left w:val="single" w:sz="4" w:space="0" w:color="auto"/>
              <w:bottom w:val="single" w:sz="4" w:space="0" w:color="auto"/>
              <w:right w:val="single" w:sz="4" w:space="0" w:color="auto"/>
            </w:tcBorders>
            <w:vAlign w:val="bottom"/>
            <w:hideMark/>
          </w:tcPr>
          <w:p w14:paraId="08752E36" w14:textId="77777777" w:rsidR="007D145C" w:rsidRDefault="007D145C" w:rsidP="00F256DF">
            <w:pPr>
              <w:rPr>
                <w:b/>
                <w:bCs/>
              </w:rPr>
            </w:pPr>
            <w:r>
              <w:rPr>
                <w:rFonts w:ascii="Calibri" w:eastAsia="Times New Roman" w:hAnsi="Calibri" w:cs="Calibri"/>
                <w:color w:val="000000"/>
              </w:rPr>
              <w:t>FEMA</w:t>
            </w:r>
          </w:p>
        </w:tc>
        <w:tc>
          <w:tcPr>
            <w:tcW w:w="2337" w:type="dxa"/>
            <w:tcBorders>
              <w:top w:val="single" w:sz="4" w:space="0" w:color="auto"/>
              <w:left w:val="single" w:sz="4" w:space="0" w:color="auto"/>
              <w:bottom w:val="single" w:sz="4" w:space="0" w:color="auto"/>
              <w:right w:val="single" w:sz="4" w:space="0" w:color="auto"/>
            </w:tcBorders>
            <w:vAlign w:val="bottom"/>
            <w:hideMark/>
          </w:tcPr>
          <w:p w14:paraId="09C65270" w14:textId="77777777" w:rsidR="007D145C" w:rsidRPr="007D145C" w:rsidRDefault="007D145C" w:rsidP="00F256DF">
            <w:pPr>
              <w:rPr>
                <w:b/>
                <w:bCs/>
              </w:rPr>
            </w:pPr>
            <w:r w:rsidRPr="007D145C">
              <w:rPr>
                <w:rFonts w:ascii="Calibri" w:eastAsia="Times New Roman" w:hAnsi="Calibri" w:cs="Calibri"/>
                <w:color w:val="000000"/>
              </w:rPr>
              <w:t>Dayra Carvaja</w:t>
            </w:r>
          </w:p>
        </w:tc>
        <w:tc>
          <w:tcPr>
            <w:tcW w:w="2338" w:type="dxa"/>
            <w:tcBorders>
              <w:top w:val="single" w:sz="4" w:space="0" w:color="auto"/>
              <w:left w:val="single" w:sz="4" w:space="0" w:color="auto"/>
              <w:bottom w:val="single" w:sz="4" w:space="0" w:color="auto"/>
              <w:right w:val="single" w:sz="4" w:space="0" w:color="auto"/>
            </w:tcBorders>
            <w:vAlign w:val="bottom"/>
            <w:hideMark/>
          </w:tcPr>
          <w:p w14:paraId="107C4250" w14:textId="77777777" w:rsidR="007D145C" w:rsidRPr="007D145C" w:rsidRDefault="007D145C" w:rsidP="00F256DF">
            <w:pPr>
              <w:rPr>
                <w:b/>
                <w:bCs/>
              </w:rPr>
            </w:pPr>
            <w:r w:rsidRPr="007D145C">
              <w:rPr>
                <w:rFonts w:ascii="Calibri" w:eastAsia="Times New Roman" w:hAnsi="Calibri" w:cs="Calibri"/>
                <w:color w:val="000000"/>
              </w:rPr>
              <w:t>USFS</w:t>
            </w:r>
          </w:p>
        </w:tc>
        <w:tc>
          <w:tcPr>
            <w:tcW w:w="2338" w:type="dxa"/>
            <w:tcBorders>
              <w:top w:val="single" w:sz="4" w:space="0" w:color="auto"/>
              <w:left w:val="single" w:sz="4" w:space="0" w:color="auto"/>
              <w:bottom w:val="single" w:sz="4" w:space="0" w:color="auto"/>
              <w:right w:val="single" w:sz="4" w:space="0" w:color="auto"/>
            </w:tcBorders>
            <w:vAlign w:val="bottom"/>
            <w:hideMark/>
          </w:tcPr>
          <w:p w14:paraId="357116B6" w14:textId="77777777" w:rsidR="007D145C" w:rsidRPr="007D145C" w:rsidRDefault="007D145C" w:rsidP="00F256DF">
            <w:pPr>
              <w:rPr>
                <w:b/>
                <w:bCs/>
              </w:rPr>
            </w:pPr>
            <w:r w:rsidRPr="007D145C">
              <w:rPr>
                <w:rFonts w:ascii="Calibri" w:eastAsia="Times New Roman" w:hAnsi="Calibri" w:cs="Calibri"/>
                <w:color w:val="000000"/>
              </w:rPr>
              <w:t>Travis Warziniack</w:t>
            </w:r>
          </w:p>
        </w:tc>
      </w:tr>
      <w:tr w:rsidR="007D145C" w14:paraId="5015EE4E" w14:textId="77777777" w:rsidTr="00F256DF">
        <w:tc>
          <w:tcPr>
            <w:tcW w:w="2337" w:type="dxa"/>
            <w:tcBorders>
              <w:top w:val="single" w:sz="4" w:space="0" w:color="auto"/>
              <w:left w:val="single" w:sz="4" w:space="0" w:color="auto"/>
              <w:bottom w:val="single" w:sz="4" w:space="0" w:color="auto"/>
              <w:right w:val="single" w:sz="4" w:space="0" w:color="auto"/>
            </w:tcBorders>
            <w:vAlign w:val="bottom"/>
            <w:hideMark/>
          </w:tcPr>
          <w:p w14:paraId="3283D591" w14:textId="77777777" w:rsidR="007D145C" w:rsidRDefault="007D145C" w:rsidP="00F256DF">
            <w:pPr>
              <w:rPr>
                <w:b/>
                <w:bCs/>
              </w:rPr>
            </w:pPr>
            <w:r>
              <w:rPr>
                <w:rFonts w:ascii="Calibri" w:eastAsia="Times New Roman" w:hAnsi="Calibri" w:cs="Calibri"/>
                <w:color w:val="000000"/>
              </w:rPr>
              <w:t>HHS</w:t>
            </w:r>
          </w:p>
        </w:tc>
        <w:tc>
          <w:tcPr>
            <w:tcW w:w="2337" w:type="dxa"/>
            <w:tcBorders>
              <w:top w:val="single" w:sz="4" w:space="0" w:color="auto"/>
              <w:left w:val="single" w:sz="4" w:space="0" w:color="auto"/>
              <w:bottom w:val="single" w:sz="4" w:space="0" w:color="auto"/>
              <w:right w:val="single" w:sz="4" w:space="0" w:color="auto"/>
            </w:tcBorders>
            <w:vAlign w:val="bottom"/>
            <w:hideMark/>
          </w:tcPr>
          <w:p w14:paraId="23023129" w14:textId="77777777" w:rsidR="007D145C" w:rsidRPr="007D145C" w:rsidRDefault="007D145C" w:rsidP="00F256DF">
            <w:pPr>
              <w:rPr>
                <w:b/>
                <w:bCs/>
              </w:rPr>
            </w:pPr>
            <w:r w:rsidRPr="007D145C">
              <w:rPr>
                <w:rFonts w:ascii="Calibri" w:eastAsia="Times New Roman" w:hAnsi="Calibri" w:cs="Calibri"/>
                <w:color w:val="000000"/>
              </w:rPr>
              <w:t>Daniel Dodgen</w:t>
            </w:r>
          </w:p>
        </w:tc>
        <w:tc>
          <w:tcPr>
            <w:tcW w:w="2338" w:type="dxa"/>
            <w:tcBorders>
              <w:top w:val="single" w:sz="4" w:space="0" w:color="auto"/>
              <w:left w:val="single" w:sz="4" w:space="0" w:color="auto"/>
              <w:bottom w:val="single" w:sz="4" w:space="0" w:color="auto"/>
              <w:right w:val="single" w:sz="4" w:space="0" w:color="auto"/>
            </w:tcBorders>
            <w:vAlign w:val="bottom"/>
            <w:hideMark/>
          </w:tcPr>
          <w:p w14:paraId="4254446A" w14:textId="77777777" w:rsidR="007D145C" w:rsidRPr="007D145C" w:rsidRDefault="007D145C" w:rsidP="00F256DF">
            <w:pPr>
              <w:rPr>
                <w:b/>
                <w:bCs/>
              </w:rPr>
            </w:pPr>
            <w:r w:rsidRPr="007D145C">
              <w:rPr>
                <w:rFonts w:ascii="Calibri" w:eastAsia="Times New Roman" w:hAnsi="Calibri" w:cs="Calibri"/>
                <w:color w:val="000000"/>
              </w:rPr>
              <w:t>USGS</w:t>
            </w:r>
          </w:p>
        </w:tc>
        <w:tc>
          <w:tcPr>
            <w:tcW w:w="2338" w:type="dxa"/>
            <w:tcBorders>
              <w:top w:val="single" w:sz="4" w:space="0" w:color="auto"/>
              <w:left w:val="single" w:sz="4" w:space="0" w:color="auto"/>
              <w:bottom w:val="single" w:sz="4" w:space="0" w:color="auto"/>
              <w:right w:val="single" w:sz="4" w:space="0" w:color="auto"/>
            </w:tcBorders>
            <w:vAlign w:val="bottom"/>
            <w:hideMark/>
          </w:tcPr>
          <w:p w14:paraId="3EAD6D96" w14:textId="77777777" w:rsidR="007D145C" w:rsidRPr="007D145C" w:rsidRDefault="007D145C" w:rsidP="00F256DF">
            <w:pPr>
              <w:rPr>
                <w:b/>
                <w:bCs/>
              </w:rPr>
            </w:pPr>
            <w:r w:rsidRPr="007D145C">
              <w:rPr>
                <w:rFonts w:ascii="Calibri" w:eastAsia="Times New Roman" w:hAnsi="Calibri" w:cs="Calibri"/>
                <w:color w:val="000000"/>
                <w:highlight w:val="yellow"/>
              </w:rPr>
              <w:t>Ken Bagstad*</w:t>
            </w:r>
          </w:p>
        </w:tc>
      </w:tr>
      <w:tr w:rsidR="007D145C" w14:paraId="0613A3DE" w14:textId="77777777" w:rsidTr="00F256DF">
        <w:tc>
          <w:tcPr>
            <w:tcW w:w="2337" w:type="dxa"/>
            <w:tcBorders>
              <w:top w:val="single" w:sz="4" w:space="0" w:color="auto"/>
              <w:left w:val="single" w:sz="4" w:space="0" w:color="auto"/>
              <w:bottom w:val="single" w:sz="4" w:space="0" w:color="auto"/>
              <w:right w:val="single" w:sz="4" w:space="0" w:color="auto"/>
            </w:tcBorders>
            <w:vAlign w:val="bottom"/>
            <w:hideMark/>
          </w:tcPr>
          <w:p w14:paraId="464A0958" w14:textId="77777777" w:rsidR="007D145C" w:rsidRDefault="007D145C" w:rsidP="00F256DF">
            <w:r>
              <w:t>NOAA</w:t>
            </w:r>
          </w:p>
        </w:tc>
        <w:tc>
          <w:tcPr>
            <w:tcW w:w="2337" w:type="dxa"/>
            <w:tcBorders>
              <w:top w:val="single" w:sz="4" w:space="0" w:color="auto"/>
              <w:left w:val="single" w:sz="4" w:space="0" w:color="auto"/>
              <w:bottom w:val="single" w:sz="4" w:space="0" w:color="auto"/>
              <w:right w:val="single" w:sz="4" w:space="0" w:color="auto"/>
            </w:tcBorders>
            <w:vAlign w:val="bottom"/>
            <w:hideMark/>
          </w:tcPr>
          <w:p w14:paraId="79106985" w14:textId="77777777" w:rsidR="007D145C" w:rsidRPr="007D145C" w:rsidRDefault="007D145C" w:rsidP="00F256DF">
            <w:r w:rsidRPr="005947EE">
              <w:rPr>
                <w:highlight w:val="yellow"/>
              </w:rPr>
              <w:t>George Gardner</w:t>
            </w:r>
          </w:p>
        </w:tc>
        <w:tc>
          <w:tcPr>
            <w:tcW w:w="2338" w:type="dxa"/>
            <w:tcBorders>
              <w:top w:val="single" w:sz="4" w:space="0" w:color="auto"/>
              <w:left w:val="single" w:sz="4" w:space="0" w:color="auto"/>
              <w:bottom w:val="single" w:sz="4" w:space="0" w:color="auto"/>
              <w:right w:val="single" w:sz="4" w:space="0" w:color="auto"/>
            </w:tcBorders>
            <w:vAlign w:val="bottom"/>
            <w:hideMark/>
          </w:tcPr>
          <w:p w14:paraId="26AA4C22" w14:textId="77777777" w:rsidR="007D145C" w:rsidRPr="007D145C" w:rsidRDefault="007D145C" w:rsidP="00F256DF">
            <w:pPr>
              <w:rPr>
                <w:b/>
                <w:bCs/>
              </w:rPr>
            </w:pPr>
            <w:r w:rsidRPr="007D145C">
              <w:rPr>
                <w:rFonts w:ascii="Calibri" w:eastAsia="Times New Roman" w:hAnsi="Calibri" w:cs="Calibri"/>
                <w:color w:val="000000"/>
              </w:rPr>
              <w:t>USGS</w:t>
            </w:r>
          </w:p>
        </w:tc>
        <w:tc>
          <w:tcPr>
            <w:tcW w:w="2338" w:type="dxa"/>
            <w:tcBorders>
              <w:top w:val="single" w:sz="4" w:space="0" w:color="auto"/>
              <w:left w:val="single" w:sz="4" w:space="0" w:color="auto"/>
              <w:bottom w:val="single" w:sz="4" w:space="0" w:color="auto"/>
              <w:right w:val="single" w:sz="4" w:space="0" w:color="auto"/>
            </w:tcBorders>
            <w:vAlign w:val="bottom"/>
            <w:hideMark/>
          </w:tcPr>
          <w:p w14:paraId="35AF49F0" w14:textId="77777777" w:rsidR="007D145C" w:rsidRPr="007D145C" w:rsidRDefault="007D145C" w:rsidP="00F256DF">
            <w:pPr>
              <w:rPr>
                <w:b/>
                <w:bCs/>
              </w:rPr>
            </w:pPr>
            <w:r w:rsidRPr="007D145C">
              <w:rPr>
                <w:rFonts w:ascii="Calibri" w:eastAsia="Times New Roman" w:hAnsi="Calibri" w:cs="Calibri"/>
                <w:color w:val="000000"/>
                <w:highlight w:val="yellow"/>
              </w:rPr>
              <w:t>Alice Pennaz</w:t>
            </w:r>
          </w:p>
        </w:tc>
      </w:tr>
      <w:tr w:rsidR="007D145C" w14:paraId="1E42F2C8" w14:textId="77777777" w:rsidTr="00F256DF">
        <w:tc>
          <w:tcPr>
            <w:tcW w:w="2337" w:type="dxa"/>
            <w:tcBorders>
              <w:top w:val="single" w:sz="4" w:space="0" w:color="auto"/>
              <w:left w:val="single" w:sz="4" w:space="0" w:color="auto"/>
              <w:bottom w:val="single" w:sz="4" w:space="0" w:color="auto"/>
              <w:right w:val="single" w:sz="4" w:space="0" w:color="auto"/>
            </w:tcBorders>
            <w:vAlign w:val="bottom"/>
            <w:hideMark/>
          </w:tcPr>
          <w:p w14:paraId="4E64D74C" w14:textId="77777777" w:rsidR="007D145C" w:rsidRDefault="007D145C" w:rsidP="00F256DF">
            <w:pPr>
              <w:rPr>
                <w:b/>
                <w:bCs/>
              </w:rPr>
            </w:pPr>
            <w:r>
              <w:rPr>
                <w:rFonts w:ascii="Calibri" w:eastAsia="Times New Roman" w:hAnsi="Calibri" w:cs="Calibri"/>
                <w:color w:val="000000"/>
              </w:rPr>
              <w:t>NOAA</w:t>
            </w:r>
          </w:p>
        </w:tc>
        <w:tc>
          <w:tcPr>
            <w:tcW w:w="2337" w:type="dxa"/>
            <w:tcBorders>
              <w:top w:val="single" w:sz="4" w:space="0" w:color="auto"/>
              <w:left w:val="single" w:sz="4" w:space="0" w:color="auto"/>
              <w:bottom w:val="single" w:sz="4" w:space="0" w:color="auto"/>
              <w:right w:val="single" w:sz="4" w:space="0" w:color="auto"/>
            </w:tcBorders>
            <w:vAlign w:val="bottom"/>
            <w:hideMark/>
          </w:tcPr>
          <w:p w14:paraId="19F0ABBD" w14:textId="77777777" w:rsidR="007D145C" w:rsidRPr="007D145C" w:rsidRDefault="007D145C" w:rsidP="00F256DF">
            <w:pPr>
              <w:rPr>
                <w:b/>
                <w:bCs/>
              </w:rPr>
            </w:pPr>
            <w:r w:rsidRPr="005947EE">
              <w:rPr>
                <w:rFonts w:ascii="Calibri" w:eastAsia="Times New Roman" w:hAnsi="Calibri" w:cs="Calibri"/>
                <w:color w:val="000000"/>
                <w:highlight w:val="yellow"/>
              </w:rPr>
              <w:t>Monica Grasso*</w:t>
            </w:r>
          </w:p>
        </w:tc>
        <w:tc>
          <w:tcPr>
            <w:tcW w:w="2338" w:type="dxa"/>
            <w:tcBorders>
              <w:top w:val="single" w:sz="4" w:space="0" w:color="auto"/>
              <w:left w:val="single" w:sz="4" w:space="0" w:color="auto"/>
              <w:bottom w:val="single" w:sz="4" w:space="0" w:color="auto"/>
              <w:right w:val="single" w:sz="4" w:space="0" w:color="auto"/>
            </w:tcBorders>
            <w:vAlign w:val="bottom"/>
            <w:hideMark/>
          </w:tcPr>
          <w:p w14:paraId="63E817E4" w14:textId="77777777" w:rsidR="007D145C" w:rsidRPr="007D145C" w:rsidRDefault="007D145C" w:rsidP="00F256DF">
            <w:pPr>
              <w:rPr>
                <w:b/>
                <w:bCs/>
              </w:rPr>
            </w:pPr>
            <w:r w:rsidRPr="007D145C">
              <w:rPr>
                <w:rFonts w:ascii="Calibri" w:eastAsia="Times New Roman" w:hAnsi="Calibri" w:cs="Calibri"/>
                <w:color w:val="000000"/>
              </w:rPr>
              <w:t>USGS</w:t>
            </w:r>
          </w:p>
        </w:tc>
        <w:tc>
          <w:tcPr>
            <w:tcW w:w="2338" w:type="dxa"/>
            <w:tcBorders>
              <w:top w:val="single" w:sz="4" w:space="0" w:color="auto"/>
              <w:left w:val="single" w:sz="4" w:space="0" w:color="auto"/>
              <w:bottom w:val="single" w:sz="4" w:space="0" w:color="auto"/>
              <w:right w:val="single" w:sz="4" w:space="0" w:color="auto"/>
            </w:tcBorders>
            <w:vAlign w:val="bottom"/>
            <w:hideMark/>
          </w:tcPr>
          <w:p w14:paraId="1E9E075E" w14:textId="77777777" w:rsidR="007D145C" w:rsidRPr="007D145C" w:rsidRDefault="007D145C" w:rsidP="00F256DF">
            <w:pPr>
              <w:rPr>
                <w:b/>
                <w:bCs/>
              </w:rPr>
            </w:pPr>
            <w:r w:rsidRPr="007D145C">
              <w:rPr>
                <w:rFonts w:ascii="Calibri" w:eastAsia="Times New Roman" w:hAnsi="Calibri" w:cs="Calibri"/>
                <w:color w:val="000000"/>
                <w:highlight w:val="yellow"/>
              </w:rPr>
              <w:t>Aleeza Wilkins</w:t>
            </w:r>
          </w:p>
        </w:tc>
      </w:tr>
      <w:tr w:rsidR="007D145C" w14:paraId="6C7139BB" w14:textId="77777777" w:rsidTr="00F256DF">
        <w:tc>
          <w:tcPr>
            <w:tcW w:w="2337" w:type="dxa"/>
            <w:tcBorders>
              <w:top w:val="single" w:sz="4" w:space="0" w:color="auto"/>
              <w:left w:val="single" w:sz="4" w:space="0" w:color="auto"/>
              <w:bottom w:val="single" w:sz="4" w:space="0" w:color="auto"/>
              <w:right w:val="single" w:sz="4" w:space="0" w:color="auto"/>
            </w:tcBorders>
            <w:vAlign w:val="bottom"/>
          </w:tcPr>
          <w:p w14:paraId="41303398" w14:textId="77777777" w:rsidR="007D145C" w:rsidRDefault="007D145C" w:rsidP="00F256DF">
            <w:pPr>
              <w:rPr>
                <w:rFonts w:ascii="Calibri" w:eastAsia="Times New Roman" w:hAnsi="Calibri" w:cs="Calibri"/>
                <w:color w:val="000000"/>
              </w:rPr>
            </w:pPr>
            <w:r>
              <w:rPr>
                <w:rFonts w:ascii="Calibri" w:eastAsia="Times New Roman" w:hAnsi="Calibri" w:cs="Calibri"/>
                <w:color w:val="000000"/>
              </w:rPr>
              <w:t>BEA</w:t>
            </w:r>
          </w:p>
        </w:tc>
        <w:tc>
          <w:tcPr>
            <w:tcW w:w="2337" w:type="dxa"/>
            <w:tcBorders>
              <w:top w:val="single" w:sz="4" w:space="0" w:color="auto"/>
              <w:left w:val="single" w:sz="4" w:space="0" w:color="auto"/>
              <w:bottom w:val="single" w:sz="4" w:space="0" w:color="auto"/>
              <w:right w:val="single" w:sz="4" w:space="0" w:color="auto"/>
            </w:tcBorders>
            <w:vAlign w:val="bottom"/>
          </w:tcPr>
          <w:p w14:paraId="2044AFA8" w14:textId="77777777" w:rsidR="007D145C" w:rsidRPr="007D145C" w:rsidRDefault="007D145C" w:rsidP="00F256DF">
            <w:pPr>
              <w:rPr>
                <w:rFonts w:ascii="Calibri" w:eastAsia="Times New Roman" w:hAnsi="Calibri" w:cs="Calibri"/>
                <w:color w:val="000000"/>
              </w:rPr>
            </w:pPr>
            <w:r w:rsidRPr="007D145C">
              <w:rPr>
                <w:rFonts w:ascii="Calibri" w:eastAsia="Times New Roman" w:hAnsi="Calibri" w:cs="Calibri"/>
                <w:color w:val="000000"/>
              </w:rPr>
              <w:t>Julie Hass</w:t>
            </w:r>
          </w:p>
        </w:tc>
        <w:tc>
          <w:tcPr>
            <w:tcW w:w="2338" w:type="dxa"/>
            <w:tcBorders>
              <w:top w:val="single" w:sz="4" w:space="0" w:color="auto"/>
              <w:left w:val="single" w:sz="4" w:space="0" w:color="auto"/>
              <w:bottom w:val="single" w:sz="4" w:space="0" w:color="auto"/>
              <w:right w:val="single" w:sz="4" w:space="0" w:color="auto"/>
            </w:tcBorders>
            <w:vAlign w:val="bottom"/>
          </w:tcPr>
          <w:p w14:paraId="27F407A5" w14:textId="77777777" w:rsidR="007D145C" w:rsidRPr="007D145C" w:rsidRDefault="007D145C" w:rsidP="00F256DF">
            <w:pPr>
              <w:rPr>
                <w:rFonts w:ascii="Calibri" w:eastAsia="Times New Roman" w:hAnsi="Calibri" w:cs="Calibri"/>
                <w:color w:val="000000"/>
              </w:rPr>
            </w:pPr>
            <w:r w:rsidRPr="007D145C">
              <w:rPr>
                <w:rFonts w:ascii="Calibri" w:eastAsia="Times New Roman" w:hAnsi="Calibri" w:cs="Calibri"/>
                <w:color w:val="000000"/>
              </w:rPr>
              <w:t>BEA</w:t>
            </w:r>
          </w:p>
        </w:tc>
        <w:tc>
          <w:tcPr>
            <w:tcW w:w="2338" w:type="dxa"/>
            <w:tcBorders>
              <w:top w:val="single" w:sz="4" w:space="0" w:color="auto"/>
              <w:left w:val="single" w:sz="4" w:space="0" w:color="auto"/>
              <w:bottom w:val="single" w:sz="4" w:space="0" w:color="auto"/>
              <w:right w:val="single" w:sz="4" w:space="0" w:color="auto"/>
            </w:tcBorders>
            <w:vAlign w:val="bottom"/>
          </w:tcPr>
          <w:p w14:paraId="7AF35D23" w14:textId="77777777" w:rsidR="007D145C" w:rsidRPr="007D145C" w:rsidRDefault="007D145C" w:rsidP="00F256DF">
            <w:pPr>
              <w:rPr>
                <w:rFonts w:ascii="Calibri" w:eastAsia="Times New Roman" w:hAnsi="Calibri" w:cs="Calibri"/>
                <w:color w:val="000000"/>
              </w:rPr>
            </w:pPr>
            <w:r w:rsidRPr="007D145C">
              <w:rPr>
                <w:rFonts w:ascii="Calibri" w:eastAsia="Times New Roman" w:hAnsi="Calibri" w:cs="Calibri"/>
                <w:color w:val="000000"/>
              </w:rPr>
              <w:t>Scott Wentland</w:t>
            </w:r>
          </w:p>
        </w:tc>
      </w:tr>
    </w:tbl>
    <w:p w14:paraId="6A6B01AE" w14:textId="77777777" w:rsidR="007D145C" w:rsidRDefault="007D145C" w:rsidP="007D145C">
      <w:pPr>
        <w:spacing w:after="0" w:line="240" w:lineRule="auto"/>
      </w:pPr>
      <w:r>
        <w:t>* Co-chair</w:t>
      </w:r>
    </w:p>
    <w:p w14:paraId="4F16FDF9" w14:textId="77777777" w:rsidR="00A6720C" w:rsidRDefault="00A6720C" w:rsidP="0002239A">
      <w:pPr>
        <w:rPr>
          <w:rFonts w:cs="Times New Roman"/>
        </w:rPr>
      </w:pPr>
      <w:r>
        <w:rPr>
          <w:rFonts w:cs="Times New Roman"/>
          <w:u w:val="single"/>
        </w:rPr>
        <w:t>Agenda</w:t>
      </w:r>
      <w:r>
        <w:rPr>
          <w:rFonts w:cs="Times New Roman"/>
        </w:rPr>
        <w:t>:</w:t>
      </w:r>
    </w:p>
    <w:p w14:paraId="1C15A0DA" w14:textId="77777777" w:rsidR="00A6720C" w:rsidRDefault="00A6720C">
      <w:pPr>
        <w:pStyle w:val="ListParagraph"/>
        <w:numPr>
          <w:ilvl w:val="0"/>
          <w:numId w:val="5"/>
        </w:numPr>
        <w:rPr>
          <w:rFonts w:cs="Times New Roman"/>
        </w:rPr>
      </w:pPr>
      <w:r w:rsidRPr="00A6720C">
        <w:rPr>
          <w:rFonts w:cs="Times New Roman"/>
        </w:rPr>
        <w:t>11-11:30 - Presentation + Q&amp;A on mitigation of natural hazards by ecosystems (Ken Bagstad)</w:t>
      </w:r>
    </w:p>
    <w:p w14:paraId="6A5494CC" w14:textId="77777777" w:rsidR="00A6720C" w:rsidRPr="00A6720C" w:rsidRDefault="00A6720C">
      <w:pPr>
        <w:pStyle w:val="ListParagraph"/>
        <w:numPr>
          <w:ilvl w:val="0"/>
          <w:numId w:val="5"/>
        </w:numPr>
        <w:rPr>
          <w:rFonts w:cs="Times New Roman"/>
        </w:rPr>
      </w:pPr>
      <w:r w:rsidRPr="00A6720C">
        <w:rPr>
          <w:rFonts w:cs="Times New Roman"/>
        </w:rPr>
        <w:t>11:30-12 - Group discussion on a ca. 2-page description of natural hazard accounts. Phase I and II accounts in the National Strategy &lt;https://www.whitehouse.gov/wp-content/uploads/2023/01/Natural-Capital-Accounting-Strategy-final.pdf&gt; each contain a ca. 2-page description (pages 40-61). That description will lay the foundation for the longer implementation plan that we'll begin drafting in January.</w:t>
      </w:r>
    </w:p>
    <w:p w14:paraId="795FE8D0" w14:textId="77777777" w:rsidR="0002239A" w:rsidRDefault="0002239A" w:rsidP="0002239A">
      <w:r>
        <w:rPr>
          <w:rFonts w:cs="Times New Roman"/>
          <w:u w:val="single"/>
        </w:rPr>
        <w:t>Key Discussion Points</w:t>
      </w:r>
      <w:r w:rsidRPr="00F562B2">
        <w:rPr>
          <w:rFonts w:cs="Times New Roman"/>
        </w:rPr>
        <w:t>:</w:t>
      </w:r>
    </w:p>
    <w:p w14:paraId="0EAA6482" w14:textId="77777777" w:rsidR="00904AAF" w:rsidRDefault="007D145C">
      <w:pPr>
        <w:pStyle w:val="ListParagraph"/>
        <w:numPr>
          <w:ilvl w:val="0"/>
          <w:numId w:val="4"/>
        </w:numPr>
      </w:pPr>
      <w:r>
        <w:t>The mitigation of natural hazards by ecosystems – Ken</w:t>
      </w:r>
    </w:p>
    <w:p w14:paraId="14FD2B32" w14:textId="77777777" w:rsidR="007D145C" w:rsidRDefault="007D145C">
      <w:pPr>
        <w:pStyle w:val="ListParagraph"/>
        <w:numPr>
          <w:ilvl w:val="1"/>
          <w:numId w:val="4"/>
        </w:numPr>
      </w:pPr>
      <w:r>
        <w:t>How do gray and green infrastructure enter into GDP?</w:t>
      </w:r>
    </w:p>
    <w:p w14:paraId="0AB25258" w14:textId="77777777" w:rsidR="007D145C" w:rsidRDefault="007D145C">
      <w:pPr>
        <w:pStyle w:val="ListParagraph"/>
        <w:numPr>
          <w:ilvl w:val="2"/>
          <w:numId w:val="4"/>
        </w:numPr>
      </w:pPr>
      <w:r>
        <w:t>Protective value from green infrastructure and co-benefits are difficult to measure and include</w:t>
      </w:r>
    </w:p>
    <w:p w14:paraId="634D7B7E" w14:textId="77777777" w:rsidR="007D145C" w:rsidRDefault="001B6809">
      <w:pPr>
        <w:pStyle w:val="ListParagraph"/>
        <w:numPr>
          <w:ilvl w:val="1"/>
          <w:numId w:val="4"/>
        </w:numPr>
      </w:pPr>
      <w:r>
        <w:rPr>
          <w:rStyle w:val="ui-provider"/>
        </w:rPr>
        <w:t>System of Environmental Economic Accounting (</w:t>
      </w:r>
      <w:r w:rsidR="007D145C">
        <w:t>S</w:t>
      </w:r>
      <w:r>
        <w:t>E</w:t>
      </w:r>
      <w:r w:rsidR="007D145C">
        <w:t>EA</w:t>
      </w:r>
      <w:r>
        <w:t>)</w:t>
      </w:r>
      <w:r w:rsidR="007D145C">
        <w:t xml:space="preserve"> – idea is to measure ecosystems and their services</w:t>
      </w:r>
    </w:p>
    <w:p w14:paraId="2873D90D" w14:textId="77777777" w:rsidR="007D145C" w:rsidRDefault="007D145C">
      <w:pPr>
        <w:pStyle w:val="ListParagraph"/>
        <w:numPr>
          <w:ilvl w:val="2"/>
          <w:numId w:val="4"/>
        </w:numPr>
      </w:pPr>
      <w:r>
        <w:t>We might track physical measures of ecosystems providing services</w:t>
      </w:r>
    </w:p>
    <w:p w14:paraId="56511DF8" w14:textId="77777777" w:rsidR="007D145C" w:rsidRDefault="007D145C">
      <w:pPr>
        <w:pStyle w:val="ListParagraph"/>
        <w:numPr>
          <w:ilvl w:val="1"/>
          <w:numId w:val="4"/>
        </w:numPr>
      </w:pPr>
      <w:r>
        <w:t>GDP paints an incomplete picture of the ecosystems service values – e.g., savings attributable to wetland provided ecosystem services</w:t>
      </w:r>
      <w:r w:rsidR="006A72A9">
        <w:t xml:space="preserve"> would look like a loss in GDP.</w:t>
      </w:r>
    </w:p>
    <w:p w14:paraId="41086523" w14:textId="77777777" w:rsidR="0002239A" w:rsidRDefault="006A72A9">
      <w:pPr>
        <w:pStyle w:val="ListParagraph"/>
        <w:numPr>
          <w:ilvl w:val="1"/>
          <w:numId w:val="4"/>
        </w:numPr>
      </w:pPr>
      <w:r>
        <w:t>We need to conduct further research to assess the value of ES including modeling of counterfactuals, validation of physical models.</w:t>
      </w:r>
    </w:p>
    <w:p w14:paraId="0E880549" w14:textId="77777777" w:rsidR="004F3200" w:rsidRDefault="004F3200">
      <w:pPr>
        <w:pStyle w:val="ListParagraph"/>
        <w:numPr>
          <w:ilvl w:val="0"/>
          <w:numId w:val="4"/>
        </w:numPr>
      </w:pPr>
      <w:r>
        <w:t>Questions and comments:</w:t>
      </w:r>
    </w:p>
    <w:p w14:paraId="7F3394D5" w14:textId="77777777" w:rsidR="0002239A" w:rsidRDefault="006A72A9">
      <w:pPr>
        <w:pStyle w:val="ListParagraph"/>
        <w:numPr>
          <w:ilvl w:val="1"/>
          <w:numId w:val="4"/>
        </w:numPr>
      </w:pPr>
      <w:r>
        <w:t xml:space="preserve">Kris- to what degree are </w:t>
      </w:r>
      <w:r w:rsidR="0002239A">
        <w:t>protections from hazards provided by ES proven? This is why we need to include validation as a significant component of research.</w:t>
      </w:r>
    </w:p>
    <w:p w14:paraId="5D7FD6AE" w14:textId="77777777" w:rsidR="0002239A" w:rsidRDefault="0002239A">
      <w:pPr>
        <w:pStyle w:val="ListParagraph"/>
        <w:numPr>
          <w:ilvl w:val="1"/>
          <w:numId w:val="4"/>
        </w:numPr>
      </w:pPr>
      <w:r>
        <w:lastRenderedPageBreak/>
        <w:t>Kris - Council of Environmental Quality- there is an IWG that is looking at nature-based solutions for flooding. We may want to reach out to CEQ.</w:t>
      </w:r>
    </w:p>
    <w:p w14:paraId="45F25E3D" w14:textId="77777777" w:rsidR="001B6809" w:rsidRDefault="001B6809">
      <w:pPr>
        <w:pStyle w:val="ListParagraph"/>
        <w:numPr>
          <w:ilvl w:val="1"/>
          <w:numId w:val="4"/>
        </w:numPr>
      </w:pPr>
      <w:r>
        <w:t>What hazards to include in our hazards account?</w:t>
      </w:r>
    </w:p>
    <w:p w14:paraId="3A46D056" w14:textId="77777777" w:rsidR="0002239A" w:rsidRDefault="004F3200">
      <w:pPr>
        <w:pStyle w:val="ListParagraph"/>
        <w:numPr>
          <w:ilvl w:val="2"/>
          <w:numId w:val="4"/>
        </w:numPr>
      </w:pPr>
      <w:r>
        <w:t xml:space="preserve">Ken - </w:t>
      </w:r>
      <w:r w:rsidR="0002239A">
        <w:t>Since this is a hazard account we can include whatever we want as long as we don’t double count.</w:t>
      </w:r>
    </w:p>
    <w:p w14:paraId="18901AA1" w14:textId="77777777" w:rsidR="004F3200" w:rsidRDefault="004F3200">
      <w:pPr>
        <w:pStyle w:val="ListParagraph"/>
        <w:numPr>
          <w:ilvl w:val="3"/>
          <w:numId w:val="4"/>
        </w:numPr>
      </w:pPr>
      <w:r>
        <w:t>Health related examples:</w:t>
      </w:r>
    </w:p>
    <w:p w14:paraId="0E51B8E6" w14:textId="77777777" w:rsidR="0002239A" w:rsidRDefault="0002239A">
      <w:pPr>
        <w:pStyle w:val="ListParagraph"/>
        <w:numPr>
          <w:ilvl w:val="4"/>
          <w:numId w:val="4"/>
        </w:numPr>
      </w:pPr>
      <w:r>
        <w:t>There are some studies that have looked at shade solutions to reduce heat-related illness.</w:t>
      </w:r>
    </w:p>
    <w:p w14:paraId="729ED840" w14:textId="77777777" w:rsidR="0002239A" w:rsidRDefault="0002239A">
      <w:pPr>
        <w:pStyle w:val="ListParagraph"/>
        <w:numPr>
          <w:ilvl w:val="4"/>
          <w:numId w:val="4"/>
        </w:numPr>
      </w:pPr>
      <w:r>
        <w:t xml:space="preserve">EPA has looked at the value of </w:t>
      </w:r>
      <w:r w:rsidR="004F3200">
        <w:t>reductions in HAB-related illnesses.</w:t>
      </w:r>
    </w:p>
    <w:p w14:paraId="12AF38F7" w14:textId="77777777" w:rsidR="004F3200" w:rsidRDefault="004F3200">
      <w:pPr>
        <w:pStyle w:val="ListParagraph"/>
        <w:numPr>
          <w:ilvl w:val="3"/>
          <w:numId w:val="4"/>
        </w:numPr>
      </w:pPr>
      <w:r>
        <w:t>Kris- we can draw on other efforts to inform what is included in a hazards account:</w:t>
      </w:r>
    </w:p>
    <w:p w14:paraId="56516C69" w14:textId="77777777" w:rsidR="004F3200" w:rsidRDefault="004F3200">
      <w:pPr>
        <w:pStyle w:val="ListParagraph"/>
        <w:numPr>
          <w:ilvl w:val="4"/>
          <w:numId w:val="4"/>
        </w:numPr>
      </w:pPr>
      <w:r>
        <w:t>National Risk Index developed by FEMA has 18 hazards, Billion Dollar Disasters</w:t>
      </w:r>
      <w:r w:rsidR="001B6809">
        <w:t xml:space="preserve">, etc. UNDRR has the widest list of hazards - </w:t>
      </w:r>
      <w:hyperlink r:id="rId8" w:tgtFrame="_blank" w:tooltip="https://www.undrr.org/publication/hazard-definition-and-classification-review-technical-report" w:history="1">
        <w:r w:rsidR="001B6809">
          <w:rPr>
            <w:rStyle w:val="Hyperlink"/>
          </w:rPr>
          <w:t>Hazard definition and classification review: Technical report | UNDRR</w:t>
        </w:r>
      </w:hyperlink>
    </w:p>
    <w:p w14:paraId="086C9F8D" w14:textId="77777777" w:rsidR="004F3200" w:rsidRDefault="004F3200">
      <w:pPr>
        <w:pStyle w:val="ListParagraph"/>
        <w:numPr>
          <w:ilvl w:val="3"/>
          <w:numId w:val="4"/>
        </w:numPr>
        <w:rPr>
          <w:rStyle w:val="ui-provider"/>
        </w:rPr>
      </w:pPr>
      <w:r>
        <w:t xml:space="preserve">Laura - </w:t>
      </w:r>
      <w:r>
        <w:rPr>
          <w:rStyle w:val="ui-provider"/>
        </w:rPr>
        <w:t>Possible content of the Hazards Account could quantify (1) the value of ecosystems in protecting life, health, and property from hazards, (2) built and natural capital (i.e., ecosystems) at risk from hazards, and (3) hazard-related defensive expenditures, losses, and rebuilding costs.</w:t>
      </w:r>
    </w:p>
    <w:p w14:paraId="514EFCDA" w14:textId="77777777" w:rsidR="001B6809" w:rsidRDefault="004F3200">
      <w:pPr>
        <w:pStyle w:val="ListParagraph"/>
        <w:numPr>
          <w:ilvl w:val="3"/>
          <w:numId w:val="4"/>
        </w:numPr>
      </w:pPr>
      <w:r>
        <w:t>Aleeza – we should start with a wide scope and limit hazards included as needed.</w:t>
      </w:r>
    </w:p>
    <w:p w14:paraId="7C27ABCF" w14:textId="77777777" w:rsidR="001B6809" w:rsidRDefault="001B6809">
      <w:pPr>
        <w:pStyle w:val="ListParagraph"/>
        <w:numPr>
          <w:ilvl w:val="3"/>
          <w:numId w:val="4"/>
        </w:numPr>
      </w:pPr>
      <w:r>
        <w:t>John - Being expansive will allow us to better address equity issues and consider distributional effects.</w:t>
      </w:r>
    </w:p>
    <w:p w14:paraId="6D1E4923" w14:textId="77777777" w:rsidR="0002239A" w:rsidRDefault="0002239A">
      <w:pPr>
        <w:pStyle w:val="ListParagraph"/>
        <w:numPr>
          <w:ilvl w:val="1"/>
          <w:numId w:val="4"/>
        </w:numPr>
      </w:pPr>
      <w:r>
        <w:t>National strategy for the Phase 1 and 2 accounts:</w:t>
      </w:r>
    </w:p>
    <w:p w14:paraId="304BE8DE" w14:textId="77777777" w:rsidR="0002239A" w:rsidRDefault="004F3200">
      <w:pPr>
        <w:pStyle w:val="ListParagraph"/>
        <w:numPr>
          <w:ilvl w:val="2"/>
          <w:numId w:val="4"/>
        </w:numPr>
      </w:pPr>
      <w:r>
        <w:t>We would like to draft a similar diagram:</w:t>
      </w:r>
    </w:p>
    <w:p w14:paraId="5DAB6C7B" w14:textId="77777777" w:rsidR="004F3200" w:rsidRDefault="004F3200">
      <w:pPr>
        <w:pStyle w:val="ListParagraph"/>
        <w:numPr>
          <w:ilvl w:val="1"/>
          <w:numId w:val="4"/>
        </w:numPr>
      </w:pPr>
      <w:r>
        <w:rPr>
          <w:noProof/>
        </w:rPr>
        <w:drawing>
          <wp:inline distT="0" distB="0" distL="0" distR="0" wp14:anchorId="5F577469" wp14:editId="6DE1FDF8">
            <wp:extent cx="4381256" cy="2759384"/>
            <wp:effectExtent l="0" t="0" r="63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94630" cy="2767807"/>
                    </a:xfrm>
                    <a:prstGeom prst="rect">
                      <a:avLst/>
                    </a:prstGeom>
                  </pic:spPr>
                </pic:pic>
              </a:graphicData>
            </a:graphic>
          </wp:inline>
        </w:drawing>
      </w:r>
    </w:p>
    <w:p w14:paraId="6062E480" w14:textId="77777777" w:rsidR="001B6809" w:rsidRDefault="001B6809" w:rsidP="001B6809">
      <w:r w:rsidRPr="001B6809">
        <w:rPr>
          <w:u w:val="single"/>
        </w:rPr>
        <w:t>Next Steps</w:t>
      </w:r>
      <w:r>
        <w:t>:</w:t>
      </w:r>
    </w:p>
    <w:p w14:paraId="7A809B1F" w14:textId="77777777" w:rsidR="001836B6" w:rsidRDefault="001836B6">
      <w:pPr>
        <w:pStyle w:val="ListParagraph"/>
        <w:numPr>
          <w:ilvl w:val="0"/>
          <w:numId w:val="4"/>
        </w:numPr>
      </w:pPr>
      <w:r>
        <w:lastRenderedPageBreak/>
        <w:t>Will continue to refine the HANC 2-pager.</w:t>
      </w:r>
    </w:p>
    <w:p w14:paraId="41F8D27C" w14:textId="77777777" w:rsidR="001B6809" w:rsidRDefault="001B6809">
      <w:pPr>
        <w:pStyle w:val="ListParagraph"/>
        <w:numPr>
          <w:ilvl w:val="0"/>
          <w:numId w:val="4"/>
        </w:numPr>
      </w:pPr>
      <w:r>
        <w:t>Broad recommendations and feedback on the HANC 2-page</w:t>
      </w:r>
      <w:r w:rsidR="001836B6">
        <w:t>r:</w:t>
      </w:r>
    </w:p>
    <w:p w14:paraId="65FD1781" w14:textId="77777777" w:rsidR="001B6809" w:rsidRDefault="001B6809">
      <w:pPr>
        <w:pStyle w:val="ListParagraph"/>
        <w:numPr>
          <w:ilvl w:val="1"/>
          <w:numId w:val="4"/>
        </w:numPr>
      </w:pPr>
      <w:r>
        <w:t>Adam – we may want to talk about compound</w:t>
      </w:r>
      <w:r w:rsidR="001836B6">
        <w:t>ing and cascading</w:t>
      </w:r>
      <w:r>
        <w:t xml:space="preserve"> disasters an</w:t>
      </w:r>
      <w:r w:rsidR="001836B6">
        <w:t>d how they relate to concerns of equity.</w:t>
      </w:r>
    </w:p>
    <w:p w14:paraId="22DA9C22" w14:textId="77777777" w:rsidR="001836B6" w:rsidRDefault="001836B6">
      <w:pPr>
        <w:pStyle w:val="ListParagraph"/>
        <w:numPr>
          <w:ilvl w:val="2"/>
          <w:numId w:val="4"/>
        </w:numPr>
      </w:pPr>
      <w:r>
        <w:t>Alice - Include how green and blue infrastructure may mitigate these disasters.</w:t>
      </w:r>
    </w:p>
    <w:p w14:paraId="4566D6FD" w14:textId="77777777" w:rsidR="001836B6" w:rsidRDefault="001836B6">
      <w:pPr>
        <w:pStyle w:val="ListParagraph"/>
        <w:numPr>
          <w:ilvl w:val="1"/>
          <w:numId w:val="4"/>
        </w:numPr>
      </w:pPr>
      <w:r>
        <w:t>John – Not for the 2-pager but we may want to think about how the account we are building may overlap with others.</w:t>
      </w:r>
    </w:p>
    <w:p w14:paraId="421D508D" w14:textId="77777777" w:rsidR="001836B6" w:rsidRDefault="001836B6">
      <w:pPr>
        <w:pStyle w:val="ListParagraph"/>
        <w:numPr>
          <w:ilvl w:val="1"/>
          <w:numId w:val="4"/>
        </w:numPr>
      </w:pPr>
      <w:r>
        <w:t>Nakamura – where do we fit in property benefits from hazard mitigations?</w:t>
      </w:r>
    </w:p>
    <w:p w14:paraId="3C8906C8" w14:textId="77777777" w:rsidR="001836B6" w:rsidRDefault="001836B6">
      <w:pPr>
        <w:pStyle w:val="ListParagraph"/>
        <w:numPr>
          <w:ilvl w:val="2"/>
          <w:numId w:val="4"/>
        </w:numPr>
      </w:pPr>
      <w:r>
        <w:t>Ken – it may be included in land prices.</w:t>
      </w:r>
    </w:p>
    <w:p w14:paraId="3DF3E371" w14:textId="77777777" w:rsidR="001836B6" w:rsidRDefault="001836B6">
      <w:pPr>
        <w:pStyle w:val="ListParagraph"/>
        <w:numPr>
          <w:ilvl w:val="1"/>
          <w:numId w:val="4"/>
        </w:numPr>
      </w:pPr>
      <w:r>
        <w:t>Adam – there would be some uncertainty regarding the tax component.</w:t>
      </w:r>
    </w:p>
    <w:p w14:paraId="02EB378F" w14:textId="321D2780" w:rsidR="007D145C" w:rsidRDefault="2C4CB1D2">
      <w:r w:rsidRPr="5B904684">
        <w:rPr>
          <w:u w:val="single"/>
        </w:rPr>
        <w:t>Additional Notes on the 2-Pager</w:t>
      </w:r>
      <w:r>
        <w:t>:</w:t>
      </w:r>
    </w:p>
    <w:p w14:paraId="6BB55F71" w14:textId="22551C98" w:rsidR="2C4CB1D2" w:rsidRDefault="2C4CB1D2" w:rsidP="5B904684">
      <w:pPr>
        <w:spacing w:line="257" w:lineRule="auto"/>
      </w:pPr>
      <w:r w:rsidRPr="5B904684">
        <w:rPr>
          <w:rFonts w:ascii="Calibri" w:eastAsia="Calibri" w:hAnsi="Calibri" w:cs="Calibri"/>
          <w:b/>
          <w:bCs/>
        </w:rPr>
        <w:t xml:space="preserve">Writeups from the National NCA Strategy </w:t>
      </w:r>
    </w:p>
    <w:p w14:paraId="6158B4AF" w14:textId="07A40128" w:rsidR="2C4CB1D2" w:rsidRDefault="2C4CB1D2" w:rsidP="5B904684">
      <w:pPr>
        <w:spacing w:line="257" w:lineRule="auto"/>
      </w:pPr>
      <w:r w:rsidRPr="5B904684">
        <w:rPr>
          <w:rFonts w:ascii="Calibri" w:eastAsia="Calibri" w:hAnsi="Calibri" w:cs="Calibri"/>
          <w:u w:val="single"/>
        </w:rPr>
        <w:t>2 pages total with:</w:t>
      </w:r>
    </w:p>
    <w:p w14:paraId="6E396432" w14:textId="6D4B2FF4" w:rsidR="2C4CB1D2" w:rsidRDefault="2C4CB1D2" w:rsidP="5B904684">
      <w:pPr>
        <w:spacing w:line="257" w:lineRule="auto"/>
      </w:pPr>
      <w:r w:rsidRPr="5B904684">
        <w:rPr>
          <w:rFonts w:ascii="Calibri" w:eastAsia="Calibri" w:hAnsi="Calibri" w:cs="Calibri"/>
        </w:rPr>
        <w:t>2 intro paragraphs:</w:t>
      </w:r>
    </w:p>
    <w:p w14:paraId="793AE074" w14:textId="3284A5BB" w:rsidR="2C4CB1D2" w:rsidRDefault="2C4CB1D2">
      <w:pPr>
        <w:pStyle w:val="ListParagraph"/>
        <w:numPr>
          <w:ilvl w:val="0"/>
          <w:numId w:val="3"/>
        </w:numPr>
        <w:rPr>
          <w:rFonts w:ascii="Calibri" w:eastAsia="Calibri" w:hAnsi="Calibri" w:cs="Calibri"/>
        </w:rPr>
      </w:pPr>
      <w:r w:rsidRPr="5B904684">
        <w:rPr>
          <w:rFonts w:ascii="Calibri" w:eastAsia="Calibri" w:hAnsi="Calibri" w:cs="Calibri"/>
        </w:rPr>
        <w:t>What’s in a hazard account?</w:t>
      </w:r>
    </w:p>
    <w:p w14:paraId="35E7FBD6" w14:textId="1D5886B3" w:rsidR="2C4CB1D2" w:rsidRDefault="2C4CB1D2">
      <w:pPr>
        <w:pStyle w:val="ListParagraph"/>
        <w:numPr>
          <w:ilvl w:val="1"/>
          <w:numId w:val="3"/>
        </w:numPr>
        <w:rPr>
          <w:rFonts w:ascii="Calibri" w:eastAsia="Calibri" w:hAnsi="Calibri" w:cs="Calibri"/>
        </w:rPr>
      </w:pPr>
      <w:r w:rsidRPr="5B904684">
        <w:rPr>
          <w:rFonts w:ascii="Calibri" w:eastAsia="Calibri" w:hAnsi="Calibri" w:cs="Calibri"/>
        </w:rPr>
        <w:t xml:space="preserve">Specify which hazards are included? </w:t>
      </w:r>
      <w:r w:rsidRPr="5B904684">
        <w:rPr>
          <w:rFonts w:ascii="Calibri" w:eastAsia="Calibri" w:hAnsi="Calibri" w:cs="Calibri"/>
          <w:i/>
          <w:iCs/>
        </w:rPr>
        <w:t xml:space="preserve">Natural hazards. </w:t>
      </w:r>
      <w:r w:rsidRPr="5B904684">
        <w:rPr>
          <w:rFonts w:ascii="Calibri" w:eastAsia="Calibri" w:hAnsi="Calibri" w:cs="Calibri"/>
        </w:rPr>
        <w:t>This is a rabbit hole, but all are disturbances that cost $/affect things we care about. Geologic, meteorological, human caused/adversarial (build off an existing framework) – e.g., FEMA National Risk Index, NRI list, Billion dollar disaster list (practical, already being economically measured)</w:t>
      </w:r>
    </w:p>
    <w:p w14:paraId="2C8B15ED" w14:textId="57B463FB" w:rsidR="2C4CB1D2" w:rsidRDefault="2C4CB1D2">
      <w:pPr>
        <w:pStyle w:val="ListParagraph"/>
        <w:numPr>
          <w:ilvl w:val="1"/>
          <w:numId w:val="3"/>
        </w:numPr>
        <w:rPr>
          <w:rFonts w:ascii="Calibri" w:eastAsia="Calibri" w:hAnsi="Calibri" w:cs="Calibri"/>
        </w:rPr>
      </w:pPr>
      <w:r w:rsidRPr="5B904684">
        <w:rPr>
          <w:rFonts w:ascii="Calibri" w:eastAsia="Calibri" w:hAnsi="Calibri" w:cs="Calibri"/>
        </w:rPr>
        <w:t>Supports SEED vs. supports disaster resilience (broader constituency)?</w:t>
      </w:r>
    </w:p>
    <w:p w14:paraId="0735C03C" w14:textId="731F2CB6" w:rsidR="2C4CB1D2" w:rsidRDefault="2C4CB1D2">
      <w:pPr>
        <w:pStyle w:val="ListParagraph"/>
        <w:numPr>
          <w:ilvl w:val="1"/>
          <w:numId w:val="3"/>
        </w:numPr>
        <w:rPr>
          <w:rFonts w:ascii="Calibri" w:eastAsia="Calibri" w:hAnsi="Calibri" w:cs="Calibri"/>
          <w:color w:val="4472C4" w:themeColor="accent1"/>
        </w:rPr>
      </w:pPr>
      <w:r w:rsidRPr="5B904684">
        <w:rPr>
          <w:rFonts w:ascii="Calibri" w:eastAsia="Calibri" w:hAnsi="Calibri" w:cs="Calibri"/>
          <w:color w:val="4472C4" w:themeColor="accent1"/>
        </w:rPr>
        <w:t>Multiple phases- start with what is already measured/defined, then put forward additional ideas</w:t>
      </w:r>
    </w:p>
    <w:p w14:paraId="73E2B3E4" w14:textId="4305F047" w:rsidR="2C4CB1D2" w:rsidRDefault="2C4CB1D2">
      <w:pPr>
        <w:pStyle w:val="ListParagraph"/>
        <w:numPr>
          <w:ilvl w:val="1"/>
          <w:numId w:val="3"/>
        </w:numPr>
        <w:rPr>
          <w:rFonts w:ascii="Calibri" w:eastAsia="Calibri" w:hAnsi="Calibri" w:cs="Calibri"/>
          <w:color w:val="4472C4" w:themeColor="accent1"/>
        </w:rPr>
      </w:pPr>
      <w:r w:rsidRPr="5B904684">
        <w:rPr>
          <w:rFonts w:ascii="Calibri" w:eastAsia="Calibri" w:hAnsi="Calibri" w:cs="Calibri"/>
          <w:color w:val="4472C4" w:themeColor="accent1"/>
        </w:rPr>
        <w:t>Some hazards (e.g., wildfire smoke, heat/drought correlation) are not as well defined</w:t>
      </w:r>
    </w:p>
    <w:p w14:paraId="3EA0F019" w14:textId="66FE0E56" w:rsidR="2C4CB1D2" w:rsidRDefault="2C4CB1D2">
      <w:pPr>
        <w:pStyle w:val="ListParagraph"/>
        <w:numPr>
          <w:ilvl w:val="1"/>
          <w:numId w:val="3"/>
        </w:numPr>
        <w:rPr>
          <w:rFonts w:ascii="Calibri" w:eastAsia="Calibri" w:hAnsi="Calibri" w:cs="Calibri"/>
          <w:color w:val="4472C4" w:themeColor="accent1"/>
        </w:rPr>
      </w:pPr>
      <w:r w:rsidRPr="5B904684">
        <w:rPr>
          <w:rFonts w:ascii="Calibri" w:eastAsia="Calibri" w:hAnsi="Calibri" w:cs="Calibri"/>
          <w:color w:val="4472C4" w:themeColor="accent1"/>
        </w:rPr>
        <w:t>Adam volunteered to be on sub-group to define</w:t>
      </w:r>
    </w:p>
    <w:p w14:paraId="487E605E" w14:textId="5454DF34" w:rsidR="2C4CB1D2" w:rsidRDefault="2C4CB1D2">
      <w:pPr>
        <w:pStyle w:val="ListParagraph"/>
        <w:numPr>
          <w:ilvl w:val="1"/>
          <w:numId w:val="3"/>
        </w:numPr>
        <w:rPr>
          <w:rFonts w:ascii="Calibri" w:eastAsia="Calibri" w:hAnsi="Calibri" w:cs="Calibri"/>
          <w:color w:val="4472C4" w:themeColor="accent1"/>
        </w:rPr>
      </w:pPr>
      <w:r w:rsidRPr="5B904684">
        <w:rPr>
          <w:rFonts w:ascii="Calibri" w:eastAsia="Calibri" w:hAnsi="Calibri" w:cs="Calibri"/>
          <w:color w:val="4472C4" w:themeColor="accent1"/>
        </w:rPr>
        <w:t>Group agreed to not worry about other accts for now</w:t>
      </w:r>
    </w:p>
    <w:p w14:paraId="365A9F8D" w14:textId="05B5B7F1" w:rsidR="2C4CB1D2" w:rsidRDefault="2C4CB1D2">
      <w:pPr>
        <w:pStyle w:val="ListParagraph"/>
        <w:numPr>
          <w:ilvl w:val="1"/>
          <w:numId w:val="3"/>
        </w:numPr>
        <w:rPr>
          <w:rFonts w:ascii="Calibri" w:eastAsia="Calibri" w:hAnsi="Calibri" w:cs="Calibri"/>
          <w:color w:val="4472C4" w:themeColor="accent1"/>
        </w:rPr>
      </w:pPr>
      <w:r w:rsidRPr="5B904684">
        <w:rPr>
          <w:rFonts w:ascii="Calibri" w:eastAsia="Calibri" w:hAnsi="Calibri" w:cs="Calibri"/>
          <w:color w:val="4472C4" w:themeColor="accent1"/>
        </w:rPr>
        <w:t>Resources to consider:</w:t>
      </w:r>
    </w:p>
    <w:p w14:paraId="47DA4765" w14:textId="52C6A213" w:rsidR="2C4CB1D2" w:rsidRDefault="00000000">
      <w:pPr>
        <w:pStyle w:val="ListParagraph"/>
        <w:numPr>
          <w:ilvl w:val="2"/>
          <w:numId w:val="3"/>
        </w:numPr>
        <w:rPr>
          <w:rFonts w:ascii="Calibri" w:eastAsia="Calibri" w:hAnsi="Calibri" w:cs="Calibri"/>
          <w:color w:val="4472C4" w:themeColor="accent1"/>
          <w:u w:val="single"/>
        </w:rPr>
      </w:pPr>
      <w:hyperlink r:id="rId10">
        <w:r w:rsidR="2C4CB1D2" w:rsidRPr="5B904684">
          <w:rPr>
            <w:rStyle w:val="Hyperlink"/>
            <w:rFonts w:ascii="Calibri" w:eastAsia="Calibri" w:hAnsi="Calibri" w:cs="Calibri"/>
          </w:rPr>
          <w:t>https://www.undrr.org/publication/hazard-definition-and-classification-review-technical-report</w:t>
        </w:r>
      </w:hyperlink>
    </w:p>
    <w:p w14:paraId="5964EED7" w14:textId="6F227318" w:rsidR="2C4CB1D2" w:rsidRDefault="2C4CB1D2">
      <w:pPr>
        <w:pStyle w:val="ListParagraph"/>
        <w:numPr>
          <w:ilvl w:val="2"/>
          <w:numId w:val="3"/>
        </w:numPr>
        <w:rPr>
          <w:rFonts w:ascii="Calibri" w:eastAsia="Calibri" w:hAnsi="Calibri" w:cs="Calibri"/>
          <w:color w:val="4472C4" w:themeColor="accent1"/>
        </w:rPr>
      </w:pPr>
      <w:r w:rsidRPr="5B904684">
        <w:rPr>
          <w:rFonts w:ascii="Calibri" w:eastAsia="Calibri" w:hAnsi="Calibri" w:cs="Calibri"/>
          <w:color w:val="4472C4" w:themeColor="accent1"/>
        </w:rPr>
        <w:t>NRI 18 hazards</w:t>
      </w:r>
    </w:p>
    <w:p w14:paraId="2FA6773F" w14:textId="5E3D0EAD" w:rsidR="2C4CB1D2" w:rsidRDefault="2C4CB1D2">
      <w:pPr>
        <w:pStyle w:val="ListParagraph"/>
        <w:numPr>
          <w:ilvl w:val="2"/>
          <w:numId w:val="3"/>
        </w:numPr>
        <w:rPr>
          <w:rFonts w:ascii="Calibri" w:eastAsia="Calibri" w:hAnsi="Calibri" w:cs="Calibri"/>
          <w:color w:val="4472C4" w:themeColor="accent1"/>
        </w:rPr>
      </w:pPr>
      <w:r w:rsidRPr="5B904684">
        <w:rPr>
          <w:rFonts w:ascii="Calibri" w:eastAsia="Calibri" w:hAnsi="Calibri" w:cs="Calibri"/>
          <w:color w:val="4472C4" w:themeColor="accent1"/>
        </w:rPr>
        <w:t>SHIRA 72 hazards</w:t>
      </w:r>
    </w:p>
    <w:p w14:paraId="79C8D262" w14:textId="11042D7A" w:rsidR="2C4CB1D2" w:rsidRDefault="2C4CB1D2">
      <w:pPr>
        <w:pStyle w:val="ListParagraph"/>
        <w:numPr>
          <w:ilvl w:val="2"/>
          <w:numId w:val="3"/>
        </w:numPr>
        <w:rPr>
          <w:rFonts w:ascii="Calibri" w:eastAsia="Calibri" w:hAnsi="Calibri" w:cs="Calibri"/>
          <w:color w:val="4472C4" w:themeColor="accent1"/>
        </w:rPr>
      </w:pPr>
      <w:r w:rsidRPr="5B904684">
        <w:rPr>
          <w:rFonts w:ascii="Calibri" w:eastAsia="Calibri" w:hAnsi="Calibri" w:cs="Calibri"/>
          <w:color w:val="4472C4" w:themeColor="accent1"/>
        </w:rPr>
        <w:t>Billion dollar disasters hazards (ie, ones that are already measured)</w:t>
      </w:r>
    </w:p>
    <w:p w14:paraId="3B27B0B0" w14:textId="481D057D" w:rsidR="2C4CB1D2" w:rsidRDefault="00000000">
      <w:pPr>
        <w:pStyle w:val="ListParagraph"/>
        <w:numPr>
          <w:ilvl w:val="2"/>
          <w:numId w:val="3"/>
        </w:numPr>
        <w:rPr>
          <w:rFonts w:ascii="Calibri" w:eastAsia="Calibri" w:hAnsi="Calibri" w:cs="Calibri"/>
          <w:color w:val="4472C4" w:themeColor="accent1"/>
        </w:rPr>
      </w:pPr>
      <w:hyperlink r:id="rId11">
        <w:r w:rsidR="2C4CB1D2" w:rsidRPr="5B904684">
          <w:rPr>
            <w:rStyle w:val="Hyperlink"/>
            <w:rFonts w:ascii="Calibri" w:eastAsia="Calibri" w:hAnsi="Calibri" w:cs="Calibri"/>
          </w:rPr>
          <w:t>https://link.springer.com/article/10.1007/s13280-019-01238-2</w:t>
        </w:r>
      </w:hyperlink>
    </w:p>
    <w:p w14:paraId="007F386A" w14:textId="4C405280" w:rsidR="2C4CB1D2" w:rsidRDefault="2C4CB1D2">
      <w:pPr>
        <w:pStyle w:val="ListParagraph"/>
        <w:numPr>
          <w:ilvl w:val="0"/>
          <w:numId w:val="3"/>
        </w:numPr>
        <w:rPr>
          <w:rFonts w:ascii="Calibri" w:eastAsia="Calibri" w:hAnsi="Calibri" w:cs="Calibri"/>
        </w:rPr>
      </w:pPr>
      <w:r w:rsidRPr="5B904684">
        <w:rPr>
          <w:rFonts w:ascii="Calibri" w:eastAsia="Calibri" w:hAnsi="Calibri" w:cs="Calibri"/>
        </w:rPr>
        <w:t>Why is it important?</w:t>
      </w:r>
    </w:p>
    <w:p w14:paraId="2537ECCB" w14:textId="05B668EF" w:rsidR="2C4CB1D2" w:rsidRDefault="2C4CB1D2">
      <w:pPr>
        <w:pStyle w:val="ListParagraph"/>
        <w:numPr>
          <w:ilvl w:val="1"/>
          <w:numId w:val="3"/>
        </w:numPr>
        <w:rPr>
          <w:rFonts w:ascii="Calibri" w:eastAsia="Calibri" w:hAnsi="Calibri" w:cs="Calibri"/>
        </w:rPr>
      </w:pPr>
      <w:r w:rsidRPr="5B904684">
        <w:rPr>
          <w:rFonts w:ascii="Calibri" w:eastAsia="Calibri" w:hAnsi="Calibri" w:cs="Calibri"/>
        </w:rPr>
        <w:t>Various ways of saying that this is costly &amp; getting more costly, mitigation saves $, and this is a classical &amp; well known problem in economics</w:t>
      </w:r>
    </w:p>
    <w:p w14:paraId="6BFAAD2B" w14:textId="37465D8C" w:rsidR="2C4CB1D2" w:rsidRDefault="2C4CB1D2">
      <w:pPr>
        <w:pStyle w:val="ListParagraph"/>
        <w:numPr>
          <w:ilvl w:val="0"/>
          <w:numId w:val="3"/>
        </w:numPr>
        <w:rPr>
          <w:rFonts w:ascii="Calibri" w:eastAsia="Calibri" w:hAnsi="Calibri" w:cs="Calibri"/>
        </w:rPr>
      </w:pPr>
      <w:r w:rsidRPr="5B904684">
        <w:rPr>
          <w:rFonts w:ascii="Calibri" w:eastAsia="Calibri" w:hAnsi="Calibri" w:cs="Calibri"/>
        </w:rPr>
        <w:t>Past relevant work</w:t>
      </w:r>
    </w:p>
    <w:p w14:paraId="145D470C" w14:textId="6EB18E80" w:rsidR="2C4CB1D2" w:rsidRDefault="2C4CB1D2">
      <w:pPr>
        <w:pStyle w:val="ListParagraph"/>
        <w:numPr>
          <w:ilvl w:val="1"/>
          <w:numId w:val="3"/>
        </w:numPr>
        <w:rPr>
          <w:rFonts w:ascii="Calibri" w:eastAsia="Calibri" w:hAnsi="Calibri" w:cs="Calibri"/>
        </w:rPr>
      </w:pPr>
      <w:r w:rsidRPr="5B904684">
        <w:rPr>
          <w:rFonts w:ascii="Calibri" w:eastAsia="Calibri" w:hAnsi="Calibri" w:cs="Calibri"/>
        </w:rPr>
        <w:t>Existing USG initiatives – assign to leads</w:t>
      </w:r>
    </w:p>
    <w:p w14:paraId="2BBA9140" w14:textId="19C67CAF" w:rsidR="2C4CB1D2" w:rsidRDefault="2C4CB1D2" w:rsidP="5B904684">
      <w:pPr>
        <w:spacing w:line="257" w:lineRule="auto"/>
      </w:pPr>
      <w:r w:rsidRPr="5B904684">
        <w:rPr>
          <w:rFonts w:ascii="Calibri" w:eastAsia="Calibri" w:hAnsi="Calibri" w:cs="Calibri"/>
        </w:rPr>
        <w:t>4-6 supporting recommendations (a couple sentences to a short paragraph each)</w:t>
      </w:r>
    </w:p>
    <w:p w14:paraId="1A891AE9" w14:textId="46A4C747" w:rsidR="2C4CB1D2" w:rsidRDefault="2C4CB1D2">
      <w:pPr>
        <w:pStyle w:val="ListParagraph"/>
        <w:numPr>
          <w:ilvl w:val="0"/>
          <w:numId w:val="2"/>
        </w:numPr>
        <w:rPr>
          <w:rFonts w:ascii="Calibri" w:eastAsia="Calibri" w:hAnsi="Calibri" w:cs="Calibri"/>
        </w:rPr>
      </w:pPr>
      <w:r w:rsidRPr="5B904684">
        <w:rPr>
          <w:rFonts w:ascii="Calibri" w:eastAsia="Calibri" w:hAnsi="Calibri" w:cs="Calibri"/>
        </w:rPr>
        <w:t>Build on and find synergies between existing Federal government hazard-related reporting</w:t>
      </w:r>
    </w:p>
    <w:p w14:paraId="7F90D12D" w14:textId="5268B00A" w:rsidR="2C4CB1D2" w:rsidRDefault="2C4CB1D2">
      <w:pPr>
        <w:pStyle w:val="ListParagraph"/>
        <w:numPr>
          <w:ilvl w:val="1"/>
          <w:numId w:val="2"/>
        </w:numPr>
        <w:rPr>
          <w:rFonts w:ascii="Calibri" w:eastAsia="Calibri" w:hAnsi="Calibri" w:cs="Calibri"/>
        </w:rPr>
      </w:pPr>
      <w:r w:rsidRPr="5B904684">
        <w:rPr>
          <w:rFonts w:ascii="Calibri" w:eastAsia="Calibri" w:hAnsi="Calibri" w:cs="Calibri"/>
        </w:rPr>
        <w:t>NOAA Billion $ Disasters</w:t>
      </w:r>
    </w:p>
    <w:p w14:paraId="7C171E44" w14:textId="4D71FE5F" w:rsidR="2C4CB1D2" w:rsidRDefault="2C4CB1D2">
      <w:pPr>
        <w:pStyle w:val="ListParagraph"/>
        <w:numPr>
          <w:ilvl w:val="1"/>
          <w:numId w:val="2"/>
        </w:numPr>
        <w:rPr>
          <w:rFonts w:ascii="Calibri" w:eastAsia="Calibri" w:hAnsi="Calibri" w:cs="Calibri"/>
        </w:rPr>
      </w:pPr>
      <w:r w:rsidRPr="5B904684">
        <w:rPr>
          <w:rFonts w:ascii="Calibri" w:eastAsia="Calibri" w:hAnsi="Calibri" w:cs="Calibri"/>
        </w:rPr>
        <w:lastRenderedPageBreak/>
        <w:t xml:space="preserve">Sendai Reporting </w:t>
      </w:r>
    </w:p>
    <w:p w14:paraId="2F859645" w14:textId="22ABADF1" w:rsidR="2C4CB1D2" w:rsidRDefault="2C4CB1D2">
      <w:pPr>
        <w:pStyle w:val="ListParagraph"/>
        <w:numPr>
          <w:ilvl w:val="1"/>
          <w:numId w:val="2"/>
        </w:numPr>
        <w:rPr>
          <w:rFonts w:ascii="Calibri" w:eastAsia="Calibri" w:hAnsi="Calibri" w:cs="Calibri"/>
        </w:rPr>
      </w:pPr>
      <w:r w:rsidRPr="5B904684">
        <w:rPr>
          <w:rFonts w:ascii="Calibri" w:eastAsia="Calibri" w:hAnsi="Calibri" w:cs="Calibri"/>
        </w:rPr>
        <w:t>BEA mitigation &amp; adaptation expenditures</w:t>
      </w:r>
    </w:p>
    <w:p w14:paraId="0523695D" w14:textId="6E9DA6FD" w:rsidR="2C4CB1D2" w:rsidRDefault="2C4CB1D2">
      <w:pPr>
        <w:pStyle w:val="ListParagraph"/>
        <w:numPr>
          <w:ilvl w:val="1"/>
          <w:numId w:val="2"/>
        </w:numPr>
        <w:rPr>
          <w:rFonts w:ascii="Calibri" w:eastAsia="Calibri" w:hAnsi="Calibri" w:cs="Calibri"/>
        </w:rPr>
      </w:pPr>
      <w:r w:rsidRPr="5B904684">
        <w:rPr>
          <w:rFonts w:ascii="Calibri" w:eastAsia="Calibri" w:hAnsi="Calibri" w:cs="Calibri"/>
        </w:rPr>
        <w:t>Others</w:t>
      </w:r>
    </w:p>
    <w:p w14:paraId="14AF32D5" w14:textId="43F2DB2F" w:rsidR="2C4CB1D2" w:rsidRDefault="2C4CB1D2">
      <w:pPr>
        <w:pStyle w:val="ListParagraph"/>
        <w:numPr>
          <w:ilvl w:val="0"/>
          <w:numId w:val="2"/>
        </w:numPr>
        <w:rPr>
          <w:rFonts w:ascii="Calibri" w:eastAsia="Calibri" w:hAnsi="Calibri" w:cs="Calibri"/>
        </w:rPr>
      </w:pPr>
      <w:r w:rsidRPr="1F624E9C">
        <w:rPr>
          <w:rFonts w:ascii="Calibri" w:eastAsia="Calibri" w:hAnsi="Calibri" w:cs="Calibri"/>
        </w:rPr>
        <w:t>Determine recommended content of a U.S. hazard account (move from possibilities to an actual plan)</w:t>
      </w:r>
    </w:p>
    <w:p w14:paraId="24503BFC" w14:textId="5AD7EF0D" w:rsidR="65AB5E52" w:rsidRDefault="65AB5E52">
      <w:pPr>
        <w:pStyle w:val="ListParagraph"/>
        <w:numPr>
          <w:ilvl w:val="1"/>
          <w:numId w:val="2"/>
        </w:numPr>
      </w:pPr>
      <w:r w:rsidRPr="1F624E9C">
        <w:rPr>
          <w:rFonts w:ascii="Segoe UI" w:eastAsia="Segoe UI" w:hAnsi="Segoe UI" w:cs="Segoe UI"/>
          <w:color w:val="333333"/>
          <w:sz w:val="18"/>
          <w:szCs w:val="18"/>
        </w:rPr>
        <w:t>Start with a wide net, narrow down based on feasibility &amp; benefits to quantifying</w:t>
      </w:r>
    </w:p>
    <w:p w14:paraId="1A5A1B24" w14:textId="578285E1" w:rsidR="2C4CB1D2" w:rsidRDefault="2C4CB1D2">
      <w:pPr>
        <w:pStyle w:val="ListParagraph"/>
        <w:numPr>
          <w:ilvl w:val="1"/>
          <w:numId w:val="2"/>
        </w:numPr>
        <w:rPr>
          <w:rFonts w:ascii="Calibri" w:eastAsia="Calibri" w:hAnsi="Calibri" w:cs="Calibri"/>
        </w:rPr>
      </w:pPr>
      <w:r w:rsidRPr="1F624E9C">
        <w:rPr>
          <w:rFonts w:ascii="Calibri" w:eastAsia="Calibri" w:hAnsi="Calibri" w:cs="Calibri"/>
        </w:rPr>
        <w:t>No one else is doing it, or USG participation adds value to an existing effort</w:t>
      </w:r>
    </w:p>
    <w:p w14:paraId="1D2D7E9F" w14:textId="565101CC" w:rsidR="2C4CB1D2" w:rsidRDefault="2C4CB1D2">
      <w:pPr>
        <w:pStyle w:val="ListParagraph"/>
        <w:numPr>
          <w:ilvl w:val="1"/>
          <w:numId w:val="2"/>
        </w:numPr>
        <w:rPr>
          <w:rFonts w:ascii="Calibri" w:eastAsia="Calibri" w:hAnsi="Calibri" w:cs="Calibri"/>
        </w:rPr>
      </w:pPr>
      <w:r w:rsidRPr="1F624E9C">
        <w:rPr>
          <w:rFonts w:ascii="Calibri" w:eastAsia="Calibri" w:hAnsi="Calibri" w:cs="Calibri"/>
        </w:rPr>
        <w:t>It’s feasible to measure in the medium term – i.e., next 5-8 years</w:t>
      </w:r>
    </w:p>
    <w:p w14:paraId="2F300ADC" w14:textId="2FAC7A5B" w:rsidR="2C4CB1D2" w:rsidRDefault="2C4CB1D2">
      <w:pPr>
        <w:pStyle w:val="ListParagraph"/>
        <w:numPr>
          <w:ilvl w:val="1"/>
          <w:numId w:val="2"/>
        </w:numPr>
        <w:rPr>
          <w:rFonts w:ascii="Calibri" w:eastAsia="Calibri" w:hAnsi="Calibri" w:cs="Calibri"/>
        </w:rPr>
      </w:pPr>
      <w:r w:rsidRPr="1F624E9C">
        <w:rPr>
          <w:rFonts w:ascii="Calibri" w:eastAsia="Calibri" w:hAnsi="Calibri" w:cs="Calibri"/>
        </w:rPr>
        <w:t>It adds value for decision making</w:t>
      </w:r>
    </w:p>
    <w:p w14:paraId="20C35277" w14:textId="5B9A1497" w:rsidR="2C4CB1D2" w:rsidRDefault="2C4CB1D2">
      <w:pPr>
        <w:pStyle w:val="ListParagraph"/>
        <w:numPr>
          <w:ilvl w:val="1"/>
          <w:numId w:val="2"/>
        </w:numPr>
        <w:rPr>
          <w:rFonts w:ascii="Calibri" w:eastAsia="Calibri" w:hAnsi="Calibri" w:cs="Calibri"/>
        </w:rPr>
      </w:pPr>
      <w:r w:rsidRPr="1F624E9C">
        <w:rPr>
          <w:rFonts w:ascii="Calibri" w:eastAsia="Calibri" w:hAnsi="Calibri" w:cs="Calibri"/>
        </w:rPr>
        <w:t>It addresses important risks to U.S. populations/economy – incl. cumulative impacts, climate risk, etc.</w:t>
      </w:r>
    </w:p>
    <w:p w14:paraId="3201BF3D" w14:textId="283AEB64" w:rsidR="2C4CB1D2" w:rsidRDefault="2C4CB1D2">
      <w:pPr>
        <w:pStyle w:val="ListParagraph"/>
        <w:numPr>
          <w:ilvl w:val="1"/>
          <w:numId w:val="2"/>
        </w:numPr>
        <w:rPr>
          <w:rFonts w:ascii="Calibri" w:eastAsia="Calibri" w:hAnsi="Calibri" w:cs="Calibri"/>
        </w:rPr>
      </w:pPr>
      <w:r w:rsidRPr="1F624E9C">
        <w:rPr>
          <w:rFonts w:ascii="Calibri" w:eastAsia="Calibri" w:hAnsi="Calibri" w:cs="Calibri"/>
        </w:rPr>
        <w:t>Consider needed spatial resolution, temporal resolution, latency</w:t>
      </w:r>
    </w:p>
    <w:p w14:paraId="35AA5439" w14:textId="2E0084C7" w:rsidR="2C4CB1D2" w:rsidRDefault="2C4CB1D2">
      <w:pPr>
        <w:pStyle w:val="ListParagraph"/>
        <w:numPr>
          <w:ilvl w:val="0"/>
          <w:numId w:val="2"/>
        </w:numPr>
        <w:rPr>
          <w:rFonts w:ascii="Calibri" w:eastAsia="Calibri" w:hAnsi="Calibri" w:cs="Calibri"/>
        </w:rPr>
      </w:pPr>
      <w:r w:rsidRPr="5B904684">
        <w:rPr>
          <w:rFonts w:ascii="Calibri" w:eastAsia="Calibri" w:hAnsi="Calibri" w:cs="Calibri"/>
        </w:rPr>
        <w:t>Lay out potential uses for hazards accounts in light of accounting boundaries (i.e., avoiding double counting)</w:t>
      </w:r>
    </w:p>
    <w:p w14:paraId="589807E6" w14:textId="4297B351" w:rsidR="2C4CB1D2" w:rsidRDefault="2C4CB1D2">
      <w:pPr>
        <w:pStyle w:val="ListParagraph"/>
        <w:numPr>
          <w:ilvl w:val="1"/>
          <w:numId w:val="2"/>
        </w:numPr>
        <w:rPr>
          <w:rFonts w:ascii="Calibri" w:eastAsia="Calibri" w:hAnsi="Calibri" w:cs="Calibri"/>
        </w:rPr>
      </w:pPr>
      <w:r w:rsidRPr="5B904684">
        <w:rPr>
          <w:rFonts w:ascii="Calibri" w:eastAsia="Calibri" w:hAnsi="Calibri" w:cs="Calibri"/>
        </w:rPr>
        <w:t>Exploring use in Beyond GDP efforts</w:t>
      </w:r>
    </w:p>
    <w:p w14:paraId="29EBF294" w14:textId="6AA7A209" w:rsidR="2C4CB1D2" w:rsidRDefault="2C4CB1D2">
      <w:pPr>
        <w:pStyle w:val="ListParagraph"/>
        <w:numPr>
          <w:ilvl w:val="1"/>
          <w:numId w:val="2"/>
        </w:numPr>
        <w:rPr>
          <w:rFonts w:ascii="Calibri" w:eastAsia="Calibri" w:hAnsi="Calibri" w:cs="Calibri"/>
          <w:color w:val="4472C4" w:themeColor="accent1"/>
        </w:rPr>
      </w:pPr>
      <w:r w:rsidRPr="5B904684">
        <w:rPr>
          <w:rFonts w:ascii="Calibri" w:eastAsia="Calibri" w:hAnsi="Calibri" w:cs="Calibri"/>
          <w:color w:val="4472C4" w:themeColor="accent1"/>
        </w:rPr>
        <w:t>Land prices, tax revenue delta, insurance availability and costs</w:t>
      </w:r>
    </w:p>
    <w:p w14:paraId="3AE60E01" w14:textId="36E53A0D" w:rsidR="2C4CB1D2" w:rsidRDefault="2C4CB1D2">
      <w:pPr>
        <w:pStyle w:val="ListParagraph"/>
        <w:numPr>
          <w:ilvl w:val="0"/>
          <w:numId w:val="2"/>
        </w:numPr>
        <w:rPr>
          <w:rFonts w:ascii="Calibri" w:eastAsia="Calibri" w:hAnsi="Calibri" w:cs="Calibri"/>
        </w:rPr>
      </w:pPr>
      <w:r w:rsidRPr="5B904684">
        <w:rPr>
          <w:rFonts w:ascii="Calibri" w:eastAsia="Calibri" w:hAnsi="Calibri" w:cs="Calibri"/>
        </w:rPr>
        <w:t>Ability to address distributional/equity issues</w:t>
      </w:r>
    </w:p>
    <w:p w14:paraId="2EF1A0E6" w14:textId="04C029CF" w:rsidR="2C4CB1D2" w:rsidRDefault="2C4CB1D2">
      <w:pPr>
        <w:pStyle w:val="ListParagraph"/>
        <w:numPr>
          <w:ilvl w:val="1"/>
          <w:numId w:val="2"/>
        </w:numPr>
        <w:spacing w:line="257" w:lineRule="auto"/>
        <w:rPr>
          <w:rFonts w:ascii="Segoe UI" w:eastAsia="Segoe UI" w:hAnsi="Segoe UI" w:cs="Segoe UI"/>
          <w:sz w:val="18"/>
          <w:szCs w:val="18"/>
        </w:rPr>
      </w:pPr>
      <w:r w:rsidRPr="5B904684">
        <w:rPr>
          <w:rFonts w:ascii="Segoe UI" w:eastAsia="Segoe UI" w:hAnsi="Segoe UI" w:cs="Segoe UI"/>
          <w:sz w:val="18"/>
          <w:szCs w:val="18"/>
        </w:rPr>
        <w:t>Ability to move "Beyond death and dollars" - need to capture things that matter for underserved communities – incl. to local, state, tribal governments &amp; communities</w:t>
      </w:r>
    </w:p>
    <w:p w14:paraId="7259492D" w14:textId="3A9B72B9" w:rsidR="2C4CB1D2" w:rsidRDefault="2C4CB1D2">
      <w:pPr>
        <w:pStyle w:val="ListParagraph"/>
        <w:numPr>
          <w:ilvl w:val="1"/>
          <w:numId w:val="2"/>
        </w:numPr>
        <w:spacing w:line="257" w:lineRule="auto"/>
        <w:rPr>
          <w:rFonts w:ascii="Segoe UI" w:eastAsia="Segoe UI" w:hAnsi="Segoe UI" w:cs="Segoe UI"/>
          <w:color w:val="4472C4" w:themeColor="accent1"/>
          <w:sz w:val="18"/>
          <w:szCs w:val="18"/>
        </w:rPr>
      </w:pPr>
      <w:r w:rsidRPr="5B904684">
        <w:rPr>
          <w:rFonts w:ascii="Segoe UI" w:eastAsia="Segoe UI" w:hAnsi="Segoe UI" w:cs="Segoe UI"/>
          <w:color w:val="4472C4" w:themeColor="accent1"/>
          <w:sz w:val="18"/>
          <w:szCs w:val="18"/>
        </w:rPr>
        <w:t>Be expansive in considering hazards here to capture equity (e.g., heat)</w:t>
      </w:r>
    </w:p>
    <w:p w14:paraId="65D580CE" w14:textId="1D16ECBF" w:rsidR="2C4CB1D2" w:rsidRDefault="2C4CB1D2">
      <w:pPr>
        <w:pStyle w:val="ListParagraph"/>
        <w:numPr>
          <w:ilvl w:val="1"/>
          <w:numId w:val="2"/>
        </w:numPr>
        <w:spacing w:line="257" w:lineRule="auto"/>
        <w:rPr>
          <w:rFonts w:ascii="Segoe UI" w:eastAsia="Segoe UI" w:hAnsi="Segoe UI" w:cs="Segoe UI"/>
          <w:color w:val="4472C4" w:themeColor="accent1"/>
          <w:sz w:val="18"/>
          <w:szCs w:val="18"/>
        </w:rPr>
      </w:pPr>
      <w:r w:rsidRPr="5B904684">
        <w:rPr>
          <w:rFonts w:ascii="Segoe UI" w:eastAsia="Segoe UI" w:hAnsi="Segoe UI" w:cs="Segoe UI"/>
          <w:color w:val="4472C4" w:themeColor="accent1"/>
          <w:sz w:val="18"/>
          <w:szCs w:val="18"/>
        </w:rPr>
        <w:t>Consider distribution of hazards and vulnerability</w:t>
      </w:r>
    </w:p>
    <w:p w14:paraId="6EE53A7E" w14:textId="5F9839C9" w:rsidR="2C4CB1D2" w:rsidRDefault="2C4CB1D2">
      <w:pPr>
        <w:pStyle w:val="ListParagraph"/>
        <w:numPr>
          <w:ilvl w:val="1"/>
          <w:numId w:val="2"/>
        </w:numPr>
        <w:spacing w:line="257" w:lineRule="auto"/>
        <w:rPr>
          <w:rFonts w:ascii="Segoe UI" w:eastAsia="Segoe UI" w:hAnsi="Segoe UI" w:cs="Segoe UI"/>
          <w:color w:val="4472C4" w:themeColor="accent1"/>
          <w:sz w:val="18"/>
          <w:szCs w:val="18"/>
        </w:rPr>
      </w:pPr>
      <w:r w:rsidRPr="5B904684">
        <w:rPr>
          <w:rFonts w:ascii="Segoe UI" w:eastAsia="Segoe UI" w:hAnsi="Segoe UI" w:cs="Segoe UI"/>
          <w:color w:val="4472C4" w:themeColor="accent1"/>
          <w:sz w:val="18"/>
          <w:szCs w:val="18"/>
        </w:rPr>
        <w:t xml:space="preserve">Also consider distribution of benefits/income/wealth </w:t>
      </w:r>
    </w:p>
    <w:p w14:paraId="60CD0D46" w14:textId="2C4EC1AE" w:rsidR="2C4CB1D2" w:rsidRDefault="2C4CB1D2">
      <w:pPr>
        <w:pStyle w:val="ListParagraph"/>
        <w:numPr>
          <w:ilvl w:val="0"/>
          <w:numId w:val="2"/>
        </w:numPr>
        <w:rPr>
          <w:rFonts w:ascii="Calibri" w:eastAsia="Calibri" w:hAnsi="Calibri" w:cs="Calibri"/>
          <w:color w:val="4472C4" w:themeColor="accent1"/>
        </w:rPr>
      </w:pPr>
      <w:r w:rsidRPr="5B904684">
        <w:rPr>
          <w:rFonts w:ascii="Calibri" w:eastAsia="Calibri" w:hAnsi="Calibri" w:cs="Calibri"/>
        </w:rPr>
        <w:t xml:space="preserve">Ability to consider cross-border impacts (e.g., wildfire smoke, supply chains, human migration) – </w:t>
      </w:r>
      <w:r w:rsidRPr="5B904684">
        <w:rPr>
          <w:rFonts w:ascii="Calibri" w:eastAsia="Calibri" w:hAnsi="Calibri" w:cs="Calibri"/>
          <w:color w:val="4472C4" w:themeColor="accent1"/>
        </w:rPr>
        <w:t>expand this to compound and cascading disasters – consider also repeating disasters in one location</w:t>
      </w:r>
    </w:p>
    <w:p w14:paraId="12A48017" w14:textId="61A3EB64" w:rsidR="2C4CB1D2" w:rsidRDefault="2C4CB1D2">
      <w:pPr>
        <w:pStyle w:val="ListParagraph"/>
        <w:numPr>
          <w:ilvl w:val="0"/>
          <w:numId w:val="2"/>
        </w:numPr>
        <w:rPr>
          <w:rFonts w:ascii="Calibri" w:eastAsia="Calibri" w:hAnsi="Calibri" w:cs="Calibri"/>
        </w:rPr>
      </w:pPr>
      <w:r w:rsidRPr="5B904684">
        <w:rPr>
          <w:rFonts w:ascii="Calibri" w:eastAsia="Calibri" w:hAnsi="Calibri" w:cs="Calibri"/>
        </w:rPr>
        <w:t>Recognizes and supports the disaster lifecycle (before-after-long after); acute vs. long-term stressors (drought, permafrost melt)</w:t>
      </w:r>
    </w:p>
    <w:p w14:paraId="1B6708D5" w14:textId="03B098F6" w:rsidR="2C4CB1D2" w:rsidRDefault="2C4CB1D2">
      <w:pPr>
        <w:pStyle w:val="ListParagraph"/>
        <w:numPr>
          <w:ilvl w:val="1"/>
          <w:numId w:val="2"/>
        </w:numPr>
        <w:rPr>
          <w:rFonts w:ascii="Calibri" w:eastAsia="Calibri" w:hAnsi="Calibri" w:cs="Calibri"/>
        </w:rPr>
      </w:pPr>
      <w:r w:rsidRPr="5B904684">
        <w:rPr>
          <w:rFonts w:ascii="Calibri" w:eastAsia="Calibri" w:hAnsi="Calibri" w:cs="Calibri"/>
        </w:rPr>
        <w:t>May want to constrain to one part of it or go broad to be holistic</w:t>
      </w:r>
    </w:p>
    <w:p w14:paraId="7258BBDD" w14:textId="41233BCF" w:rsidR="2C4CB1D2" w:rsidRDefault="2C4CB1D2">
      <w:pPr>
        <w:pStyle w:val="ListParagraph"/>
        <w:numPr>
          <w:ilvl w:val="0"/>
          <w:numId w:val="2"/>
        </w:numPr>
        <w:rPr>
          <w:rFonts w:ascii="Calibri" w:eastAsia="Calibri" w:hAnsi="Calibri" w:cs="Calibri"/>
        </w:rPr>
      </w:pPr>
      <w:r w:rsidRPr="5B904684">
        <w:rPr>
          <w:rFonts w:ascii="Calibri" w:eastAsia="Calibri" w:hAnsi="Calibri" w:cs="Calibri"/>
        </w:rPr>
        <w:t>Vet the resulting plan with the science and policy community, both domestically and internationally, to maximize its value to decision making and use of best available science</w:t>
      </w:r>
    </w:p>
    <w:p w14:paraId="28A397EA" w14:textId="0BBC11AD" w:rsidR="2C4CB1D2" w:rsidRDefault="2C4CB1D2">
      <w:pPr>
        <w:pStyle w:val="ListParagraph"/>
        <w:numPr>
          <w:ilvl w:val="1"/>
          <w:numId w:val="2"/>
        </w:numPr>
        <w:rPr>
          <w:rFonts w:ascii="Calibri" w:eastAsia="Calibri" w:hAnsi="Calibri" w:cs="Calibri"/>
        </w:rPr>
      </w:pPr>
      <w:r w:rsidRPr="5B904684">
        <w:rPr>
          <w:rFonts w:ascii="Calibri" w:eastAsia="Calibri" w:hAnsi="Calibri" w:cs="Calibri"/>
        </w:rPr>
        <w:t>This is a space for the U.S. to play a definitive leadership role internationally</w:t>
      </w:r>
    </w:p>
    <w:p w14:paraId="30D83358" w14:textId="56D3FB82" w:rsidR="2C4CB1D2" w:rsidRDefault="2C4CB1D2" w:rsidP="5B904684">
      <w:pPr>
        <w:spacing w:line="257" w:lineRule="auto"/>
      </w:pPr>
      <w:r w:rsidRPr="1F624E9C">
        <w:rPr>
          <w:rFonts w:ascii="Calibri" w:eastAsia="Calibri" w:hAnsi="Calibri" w:cs="Calibri"/>
        </w:rPr>
        <w:t>Cross agency dependencies diagram</w:t>
      </w:r>
      <w:r w:rsidR="2CDB3BA3" w:rsidRPr="1F624E9C">
        <w:rPr>
          <w:rFonts w:ascii="Calibri" w:eastAsia="Calibri" w:hAnsi="Calibri" w:cs="Calibri"/>
        </w:rPr>
        <w:t xml:space="preserve"> – e.g.,:</w:t>
      </w:r>
    </w:p>
    <w:p w14:paraId="429BCF36" w14:textId="417EFB62" w:rsidR="2953AA1B" w:rsidRDefault="2953AA1B" w:rsidP="1F624E9C">
      <w:pPr>
        <w:spacing w:line="257" w:lineRule="auto"/>
      </w:pPr>
      <w:r>
        <w:rPr>
          <w:noProof/>
        </w:rPr>
        <w:lastRenderedPageBreak/>
        <w:drawing>
          <wp:inline distT="0" distB="0" distL="0" distR="0" wp14:anchorId="2EE03E2C" wp14:editId="65BF5BB3">
            <wp:extent cx="4572000" cy="2638425"/>
            <wp:effectExtent l="0" t="0" r="0" b="0"/>
            <wp:docPr id="1614601711" name="Picture 161460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4572000" cy="2638425"/>
                    </a:xfrm>
                    <a:prstGeom prst="rect">
                      <a:avLst/>
                    </a:prstGeom>
                  </pic:spPr>
                </pic:pic>
              </a:graphicData>
            </a:graphic>
          </wp:inline>
        </w:drawing>
      </w:r>
    </w:p>
    <w:p w14:paraId="4BB965B4" w14:textId="22F79D6B" w:rsidR="2CDB3BA3" w:rsidRDefault="2CDB3BA3">
      <w:pPr>
        <w:pStyle w:val="ListParagraph"/>
        <w:numPr>
          <w:ilvl w:val="0"/>
          <w:numId w:val="1"/>
        </w:numPr>
        <w:rPr>
          <w:rFonts w:ascii="Calibri" w:eastAsia="Calibri" w:hAnsi="Calibri" w:cs="Calibri"/>
          <w:color w:val="000000" w:themeColor="text1"/>
        </w:rPr>
      </w:pPr>
      <w:r w:rsidRPr="1F624E9C">
        <w:rPr>
          <w:rFonts w:ascii="Calibri" w:eastAsia="Calibri" w:hAnsi="Calibri" w:cs="Calibri"/>
          <w:color w:val="000000" w:themeColor="text1"/>
        </w:rPr>
        <w:t>Biophysical data providers</w:t>
      </w:r>
    </w:p>
    <w:p w14:paraId="5C7769A4" w14:textId="65E4B0C4" w:rsidR="2CDB3BA3" w:rsidRDefault="2CDB3BA3">
      <w:pPr>
        <w:pStyle w:val="ListParagraph"/>
        <w:numPr>
          <w:ilvl w:val="1"/>
          <w:numId w:val="1"/>
        </w:numPr>
        <w:rPr>
          <w:rFonts w:ascii="Calibri" w:eastAsia="Calibri" w:hAnsi="Calibri" w:cs="Calibri"/>
          <w:color w:val="000000" w:themeColor="text1"/>
        </w:rPr>
      </w:pPr>
      <w:r w:rsidRPr="1F624E9C">
        <w:rPr>
          <w:rFonts w:ascii="Calibri" w:eastAsia="Calibri" w:hAnsi="Calibri" w:cs="Calibri"/>
          <w:color w:val="000000" w:themeColor="text1"/>
        </w:rPr>
        <w:t xml:space="preserve">Leads: </w:t>
      </w:r>
    </w:p>
    <w:p w14:paraId="778BDCBA" w14:textId="5A5CFC0C" w:rsidR="2CDB3BA3" w:rsidRDefault="2CDB3BA3">
      <w:pPr>
        <w:pStyle w:val="ListParagraph"/>
        <w:numPr>
          <w:ilvl w:val="1"/>
          <w:numId w:val="1"/>
        </w:numPr>
        <w:rPr>
          <w:rFonts w:ascii="Calibri" w:eastAsia="Calibri" w:hAnsi="Calibri" w:cs="Calibri"/>
          <w:color w:val="000000" w:themeColor="text1"/>
        </w:rPr>
      </w:pPr>
      <w:r w:rsidRPr="1F624E9C">
        <w:rPr>
          <w:rFonts w:ascii="Calibri" w:eastAsia="Calibri" w:hAnsi="Calibri" w:cs="Calibri"/>
          <w:color w:val="000000" w:themeColor="text1"/>
        </w:rPr>
        <w:t xml:space="preserve">Supporting: </w:t>
      </w:r>
    </w:p>
    <w:p w14:paraId="4F91AE52" w14:textId="66A3D574" w:rsidR="2CDB3BA3" w:rsidRDefault="2CDB3BA3">
      <w:pPr>
        <w:pStyle w:val="ListParagraph"/>
        <w:numPr>
          <w:ilvl w:val="0"/>
          <w:numId w:val="1"/>
        </w:numPr>
        <w:rPr>
          <w:rFonts w:ascii="Calibri" w:eastAsia="Calibri" w:hAnsi="Calibri" w:cs="Calibri"/>
          <w:color w:val="000000" w:themeColor="text1"/>
        </w:rPr>
      </w:pPr>
      <w:r w:rsidRPr="1F624E9C">
        <w:rPr>
          <w:rFonts w:ascii="Calibri" w:eastAsia="Calibri" w:hAnsi="Calibri" w:cs="Calibri"/>
          <w:color w:val="000000" w:themeColor="text1"/>
        </w:rPr>
        <w:t>Economic data providers</w:t>
      </w:r>
    </w:p>
    <w:p w14:paraId="4E039D68" w14:textId="36B4A8AA" w:rsidR="2CDB3BA3" w:rsidRDefault="2CDB3BA3">
      <w:pPr>
        <w:pStyle w:val="ListParagraph"/>
        <w:numPr>
          <w:ilvl w:val="1"/>
          <w:numId w:val="1"/>
        </w:numPr>
        <w:rPr>
          <w:rFonts w:ascii="Calibri" w:eastAsia="Calibri" w:hAnsi="Calibri" w:cs="Calibri"/>
          <w:color w:val="000000" w:themeColor="text1"/>
        </w:rPr>
      </w:pPr>
      <w:r w:rsidRPr="1F624E9C">
        <w:rPr>
          <w:rFonts w:ascii="Calibri" w:eastAsia="Calibri" w:hAnsi="Calibri" w:cs="Calibri"/>
          <w:color w:val="000000" w:themeColor="text1"/>
        </w:rPr>
        <w:t xml:space="preserve">Leads: </w:t>
      </w:r>
    </w:p>
    <w:p w14:paraId="1985FD09" w14:textId="10328577" w:rsidR="2CDB3BA3" w:rsidRDefault="2CDB3BA3">
      <w:pPr>
        <w:pStyle w:val="ListParagraph"/>
        <w:numPr>
          <w:ilvl w:val="1"/>
          <w:numId w:val="1"/>
        </w:numPr>
        <w:rPr>
          <w:rFonts w:ascii="Calibri" w:eastAsia="Calibri" w:hAnsi="Calibri" w:cs="Calibri"/>
          <w:color w:val="000000" w:themeColor="text1"/>
        </w:rPr>
      </w:pPr>
      <w:r w:rsidRPr="1F624E9C">
        <w:rPr>
          <w:rFonts w:ascii="Calibri" w:eastAsia="Calibri" w:hAnsi="Calibri" w:cs="Calibri"/>
          <w:color w:val="000000" w:themeColor="text1"/>
        </w:rPr>
        <w:t xml:space="preserve">Supporting: </w:t>
      </w:r>
    </w:p>
    <w:p w14:paraId="72A83D21" w14:textId="7DC3B78B" w:rsidR="2CDB3BA3" w:rsidRDefault="2CDB3BA3">
      <w:pPr>
        <w:pStyle w:val="ListParagraph"/>
        <w:numPr>
          <w:ilvl w:val="0"/>
          <w:numId w:val="1"/>
        </w:numPr>
        <w:rPr>
          <w:rFonts w:ascii="Calibri" w:eastAsia="Calibri" w:hAnsi="Calibri" w:cs="Calibri"/>
          <w:color w:val="000000" w:themeColor="text1"/>
        </w:rPr>
      </w:pPr>
      <w:r w:rsidRPr="1F624E9C">
        <w:rPr>
          <w:rFonts w:ascii="Calibri" w:eastAsia="Calibri" w:hAnsi="Calibri" w:cs="Calibri"/>
          <w:color w:val="000000" w:themeColor="text1"/>
        </w:rPr>
        <w:t>Monetization</w:t>
      </w:r>
    </w:p>
    <w:p w14:paraId="78DB7179" w14:textId="136DDF1C" w:rsidR="2CDB3BA3" w:rsidRDefault="2CDB3BA3">
      <w:pPr>
        <w:pStyle w:val="ListParagraph"/>
        <w:numPr>
          <w:ilvl w:val="1"/>
          <w:numId w:val="1"/>
        </w:numPr>
        <w:rPr>
          <w:rFonts w:ascii="Calibri" w:eastAsia="Calibri" w:hAnsi="Calibri" w:cs="Calibri"/>
          <w:color w:val="000000" w:themeColor="text1"/>
        </w:rPr>
      </w:pPr>
      <w:r w:rsidRPr="1F624E9C">
        <w:rPr>
          <w:rFonts w:ascii="Calibri" w:eastAsia="Calibri" w:hAnsi="Calibri" w:cs="Calibri"/>
          <w:color w:val="000000" w:themeColor="text1"/>
        </w:rPr>
        <w:t xml:space="preserve">Leads: </w:t>
      </w:r>
    </w:p>
    <w:p w14:paraId="5E64D20F" w14:textId="1BC98D1F" w:rsidR="2CDB3BA3" w:rsidRDefault="2CDB3BA3">
      <w:pPr>
        <w:pStyle w:val="ListParagraph"/>
        <w:numPr>
          <w:ilvl w:val="1"/>
          <w:numId w:val="1"/>
        </w:numPr>
        <w:rPr>
          <w:rFonts w:ascii="Calibri" w:eastAsia="Calibri" w:hAnsi="Calibri" w:cs="Calibri"/>
          <w:color w:val="000000" w:themeColor="text1"/>
        </w:rPr>
      </w:pPr>
      <w:r w:rsidRPr="1F624E9C">
        <w:rPr>
          <w:rFonts w:ascii="Calibri" w:eastAsia="Calibri" w:hAnsi="Calibri" w:cs="Calibri"/>
          <w:color w:val="000000" w:themeColor="text1"/>
        </w:rPr>
        <w:t xml:space="preserve">Supporting: </w:t>
      </w:r>
    </w:p>
    <w:p w14:paraId="077657B6" w14:textId="53228454" w:rsidR="2CDB3BA3" w:rsidRDefault="2CDB3BA3">
      <w:pPr>
        <w:pStyle w:val="ListParagraph"/>
        <w:numPr>
          <w:ilvl w:val="0"/>
          <w:numId w:val="1"/>
        </w:numPr>
        <w:rPr>
          <w:rFonts w:ascii="Calibri" w:eastAsia="Calibri" w:hAnsi="Calibri" w:cs="Calibri"/>
          <w:color w:val="000000" w:themeColor="text1"/>
        </w:rPr>
      </w:pPr>
      <w:r w:rsidRPr="1F624E9C">
        <w:rPr>
          <w:rFonts w:ascii="Calibri" w:eastAsia="Calibri" w:hAnsi="Calibri" w:cs="Calibri"/>
          <w:color w:val="000000" w:themeColor="text1"/>
        </w:rPr>
        <w:t>Compiling &amp; normalizing data</w:t>
      </w:r>
    </w:p>
    <w:p w14:paraId="1CB8D401" w14:textId="0309D194" w:rsidR="2CDB3BA3" w:rsidRDefault="2CDB3BA3">
      <w:pPr>
        <w:pStyle w:val="ListParagraph"/>
        <w:numPr>
          <w:ilvl w:val="1"/>
          <w:numId w:val="1"/>
        </w:numPr>
        <w:rPr>
          <w:rFonts w:ascii="Calibri" w:eastAsia="Calibri" w:hAnsi="Calibri" w:cs="Calibri"/>
          <w:color w:val="000000" w:themeColor="text1"/>
        </w:rPr>
      </w:pPr>
      <w:r w:rsidRPr="1F624E9C">
        <w:rPr>
          <w:rFonts w:ascii="Calibri" w:eastAsia="Calibri" w:hAnsi="Calibri" w:cs="Calibri"/>
          <w:color w:val="000000" w:themeColor="text1"/>
        </w:rPr>
        <w:t xml:space="preserve">Leads: </w:t>
      </w:r>
    </w:p>
    <w:p w14:paraId="2DA5A471" w14:textId="41A03272" w:rsidR="2CDB3BA3" w:rsidRDefault="2CDB3BA3">
      <w:pPr>
        <w:pStyle w:val="ListParagraph"/>
        <w:numPr>
          <w:ilvl w:val="1"/>
          <w:numId w:val="1"/>
        </w:numPr>
        <w:rPr>
          <w:rFonts w:ascii="Calibri" w:eastAsia="Calibri" w:hAnsi="Calibri" w:cs="Calibri"/>
          <w:color w:val="000000" w:themeColor="text1"/>
        </w:rPr>
      </w:pPr>
      <w:r w:rsidRPr="1F624E9C">
        <w:rPr>
          <w:rFonts w:ascii="Calibri" w:eastAsia="Calibri" w:hAnsi="Calibri" w:cs="Calibri"/>
          <w:color w:val="000000" w:themeColor="text1"/>
        </w:rPr>
        <w:t xml:space="preserve">Supporting: </w:t>
      </w:r>
    </w:p>
    <w:p w14:paraId="7E149B9E" w14:textId="544553B7" w:rsidR="2CDB3BA3" w:rsidRDefault="2CDB3BA3">
      <w:pPr>
        <w:pStyle w:val="ListParagraph"/>
        <w:numPr>
          <w:ilvl w:val="0"/>
          <w:numId w:val="1"/>
        </w:numPr>
        <w:rPr>
          <w:rFonts w:ascii="Calibri" w:eastAsia="Calibri" w:hAnsi="Calibri" w:cs="Calibri"/>
          <w:color w:val="000000" w:themeColor="text1"/>
        </w:rPr>
      </w:pPr>
      <w:r w:rsidRPr="1F624E9C">
        <w:rPr>
          <w:rFonts w:ascii="Calibri" w:eastAsia="Calibri" w:hAnsi="Calibri" w:cs="Calibri"/>
          <w:color w:val="000000" w:themeColor="text1"/>
        </w:rPr>
        <w:t>Publishing data</w:t>
      </w:r>
    </w:p>
    <w:p w14:paraId="5B8E90AD" w14:textId="6FA7EABD" w:rsidR="2CDB3BA3" w:rsidRDefault="2CDB3BA3">
      <w:pPr>
        <w:pStyle w:val="ListParagraph"/>
        <w:numPr>
          <w:ilvl w:val="1"/>
          <w:numId w:val="1"/>
        </w:numPr>
        <w:rPr>
          <w:rFonts w:ascii="Calibri" w:eastAsia="Calibri" w:hAnsi="Calibri" w:cs="Calibri"/>
          <w:color w:val="000000" w:themeColor="text1"/>
        </w:rPr>
      </w:pPr>
      <w:r w:rsidRPr="1F624E9C">
        <w:rPr>
          <w:rFonts w:ascii="Calibri" w:eastAsia="Calibri" w:hAnsi="Calibri" w:cs="Calibri"/>
          <w:color w:val="000000" w:themeColor="text1"/>
        </w:rPr>
        <w:t>Leads: BEA</w:t>
      </w:r>
    </w:p>
    <w:p w14:paraId="7F63071D" w14:textId="20300C16" w:rsidR="2CDB3BA3" w:rsidRDefault="2CDB3BA3">
      <w:pPr>
        <w:pStyle w:val="ListParagraph"/>
        <w:numPr>
          <w:ilvl w:val="1"/>
          <w:numId w:val="1"/>
        </w:numPr>
        <w:rPr>
          <w:rFonts w:ascii="Calibri" w:eastAsia="Calibri" w:hAnsi="Calibri" w:cs="Calibri"/>
          <w:color w:val="000000" w:themeColor="text1"/>
        </w:rPr>
      </w:pPr>
      <w:r w:rsidRPr="1F624E9C">
        <w:rPr>
          <w:rFonts w:ascii="Calibri" w:eastAsia="Calibri" w:hAnsi="Calibri" w:cs="Calibri"/>
          <w:color w:val="000000" w:themeColor="text1"/>
        </w:rPr>
        <w:t>Supporting:</w:t>
      </w:r>
    </w:p>
    <w:p w14:paraId="688CF452" w14:textId="6E121CA7" w:rsidR="1F624E9C" w:rsidRDefault="1F624E9C" w:rsidP="1F624E9C">
      <w:pPr>
        <w:spacing w:line="257" w:lineRule="auto"/>
        <w:rPr>
          <w:rFonts w:ascii="Calibri" w:eastAsia="Calibri" w:hAnsi="Calibri" w:cs="Calibri"/>
        </w:rPr>
      </w:pPr>
    </w:p>
    <w:p w14:paraId="4D1586CE" w14:textId="5474918C" w:rsidR="1F624E9C" w:rsidRDefault="1F624E9C" w:rsidP="1F624E9C">
      <w:pPr>
        <w:spacing w:line="257" w:lineRule="auto"/>
        <w:rPr>
          <w:rFonts w:ascii="Calibri" w:eastAsia="Calibri" w:hAnsi="Calibri" w:cs="Calibri"/>
        </w:rPr>
      </w:pPr>
    </w:p>
    <w:p w14:paraId="4DC5CEBD" w14:textId="089D148C" w:rsidR="2C4CB1D2" w:rsidRDefault="2C4CB1D2" w:rsidP="5B904684">
      <w:pPr>
        <w:spacing w:line="257" w:lineRule="auto"/>
      </w:pPr>
      <w:r w:rsidRPr="5B904684">
        <w:rPr>
          <w:rFonts w:ascii="Calibri" w:eastAsia="Calibri" w:hAnsi="Calibri" w:cs="Calibri"/>
          <w:color w:val="4472C4" w:themeColor="accent1"/>
        </w:rPr>
        <w:t>Consider also boundary issues with other accounts (e.g., what falls into hazards acct vs others) – e.g., environmental activities, air emission/quality…</w:t>
      </w:r>
    </w:p>
    <w:p w14:paraId="157338CA" w14:textId="2FE7588A" w:rsidR="5B904684" w:rsidRDefault="5B904684" w:rsidP="5B904684"/>
    <w:p w14:paraId="0A865556" w14:textId="29AA8EEA" w:rsidR="7875C06F" w:rsidRDefault="00000000" w:rsidP="1F624E9C">
      <w:pPr>
        <w:rPr>
          <w:rFonts w:ascii="Calibri" w:eastAsia="Calibri" w:hAnsi="Calibri" w:cs="Calibri"/>
          <w:color w:val="000000" w:themeColor="text1"/>
        </w:rPr>
      </w:pPr>
      <w:hyperlink r:id="rId13">
        <w:r w:rsidR="7875C06F" w:rsidRPr="1F624E9C">
          <w:rPr>
            <w:rStyle w:val="Hyperlink"/>
            <w:rFonts w:ascii="Calibri" w:eastAsia="Calibri" w:hAnsi="Calibri" w:cs="Calibri"/>
          </w:rPr>
          <w:t>Natural Hazard Mitigation Saves: 2019 Report | National Institute of Building Sciences (nibs.org)</w:t>
        </w:r>
      </w:hyperlink>
      <w:r w:rsidR="7875C06F" w:rsidRPr="1F624E9C">
        <w:rPr>
          <w:rFonts w:ascii="Calibri" w:eastAsia="Calibri" w:hAnsi="Calibri" w:cs="Calibri"/>
          <w:color w:val="000000" w:themeColor="text1"/>
        </w:rPr>
        <w:t xml:space="preserve"> (for every $1 spent on mitigation, it saves $13) (pending on hazard- gets complicated, but is the current “state of the science” report in mitigation</w:t>
      </w:r>
    </w:p>
    <w:p w14:paraId="39A09E99" w14:textId="699034AA" w:rsidR="7875C06F" w:rsidRDefault="00000000" w:rsidP="1F624E9C">
      <w:pPr>
        <w:rPr>
          <w:rFonts w:ascii="Calibri" w:eastAsia="Calibri" w:hAnsi="Calibri" w:cs="Calibri"/>
          <w:color w:val="000000" w:themeColor="text1"/>
        </w:rPr>
      </w:pPr>
      <w:hyperlink r:id="rId14">
        <w:r w:rsidR="7875C06F" w:rsidRPr="1F624E9C">
          <w:rPr>
            <w:rStyle w:val="Hyperlink"/>
            <w:rFonts w:ascii="Calibri" w:eastAsia="Calibri" w:hAnsi="Calibri" w:cs="Calibri"/>
          </w:rPr>
          <w:t>Resilience Science and Technology Grand Pathways Framework (whitehouse.gov)</w:t>
        </w:r>
      </w:hyperlink>
      <w:r w:rsidR="7875C06F" w:rsidRPr="1F624E9C">
        <w:rPr>
          <w:rFonts w:ascii="Calibri" w:eastAsia="Calibri" w:hAnsi="Calibri" w:cs="Calibri"/>
          <w:color w:val="000000" w:themeColor="text1"/>
        </w:rPr>
        <w:t xml:space="preserve"> – SRST’s report on resilience, may offer useful framing</w:t>
      </w:r>
    </w:p>
    <w:p w14:paraId="6BB836D4" w14:textId="4D34D8AD" w:rsidR="7875C06F" w:rsidRDefault="00000000" w:rsidP="1F624E9C">
      <w:pPr>
        <w:rPr>
          <w:rFonts w:ascii="Calibri" w:eastAsia="Calibri" w:hAnsi="Calibri" w:cs="Calibri"/>
          <w:color w:val="000000" w:themeColor="text1"/>
        </w:rPr>
      </w:pPr>
      <w:hyperlink r:id="rId15">
        <w:r w:rsidR="7875C06F" w:rsidRPr="1F624E9C">
          <w:rPr>
            <w:rStyle w:val="Hyperlink"/>
            <w:rFonts w:ascii="Calibri" w:eastAsia="Calibri" w:hAnsi="Calibri" w:cs="Calibri"/>
          </w:rPr>
          <w:t>https://www.whitehouse.gov/wp-content/uploads/2023/09/National-Climate-Resilience-Framework-FINAL.pdf</w:t>
        </w:r>
      </w:hyperlink>
      <w:r w:rsidR="7875C06F" w:rsidRPr="1F624E9C">
        <w:rPr>
          <w:rFonts w:ascii="Calibri" w:eastAsia="Calibri" w:hAnsi="Calibri" w:cs="Calibri"/>
          <w:color w:val="000000" w:themeColor="text1"/>
        </w:rPr>
        <w:t xml:space="preserve"> - WH report on climate resilience, 6 pillars may offer useful framing</w:t>
      </w:r>
    </w:p>
    <w:p w14:paraId="6836772C" w14:textId="795100CA" w:rsidR="7875C06F" w:rsidRDefault="7875C06F" w:rsidP="1F624E9C">
      <w:pPr>
        <w:rPr>
          <w:rFonts w:ascii="Calibri" w:eastAsia="Calibri" w:hAnsi="Calibri" w:cs="Calibri"/>
          <w:color w:val="000000" w:themeColor="text1"/>
        </w:rPr>
      </w:pPr>
      <w:r w:rsidRPr="1F624E9C">
        <w:rPr>
          <w:rFonts w:ascii="Calibri" w:eastAsia="Calibri" w:hAnsi="Calibri" w:cs="Calibri"/>
          <w:color w:val="000000" w:themeColor="text1"/>
        </w:rPr>
        <w:t>Emergency Support Functions – framing for how the hazards community considers the role of different agencies in response. Somewhat different than Recovery Support Functions</w:t>
      </w:r>
    </w:p>
    <w:p w14:paraId="45636ADD" w14:textId="2C50976B" w:rsidR="7875C06F" w:rsidRDefault="00000000" w:rsidP="1F624E9C">
      <w:pPr>
        <w:rPr>
          <w:rFonts w:ascii="Calibri" w:eastAsia="Calibri" w:hAnsi="Calibri" w:cs="Calibri"/>
          <w:color w:val="000000" w:themeColor="text1"/>
        </w:rPr>
      </w:pPr>
      <w:hyperlink r:id="rId16">
        <w:r w:rsidR="7875C06F" w:rsidRPr="1F624E9C">
          <w:rPr>
            <w:rStyle w:val="Hyperlink"/>
            <w:rFonts w:ascii="Calibri" w:eastAsia="Calibri" w:hAnsi="Calibri" w:cs="Calibri"/>
          </w:rPr>
          <w:t>National Response Framework | FEMA.gov</w:t>
        </w:r>
      </w:hyperlink>
      <w:r w:rsidR="7875C06F" w:rsidRPr="1F624E9C">
        <w:rPr>
          <w:rFonts w:ascii="Calibri" w:eastAsia="Calibri" w:hAnsi="Calibri" w:cs="Calibri"/>
          <w:color w:val="000000" w:themeColor="text1"/>
        </w:rPr>
        <w:t xml:space="preserve"> – high level background</w:t>
      </w:r>
    </w:p>
    <w:p w14:paraId="4C4C4E1A" w14:textId="66F864F7" w:rsidR="7875C06F" w:rsidRDefault="00000000" w:rsidP="1F624E9C">
      <w:pPr>
        <w:rPr>
          <w:rFonts w:ascii="Calibri" w:eastAsia="Calibri" w:hAnsi="Calibri" w:cs="Calibri"/>
          <w:color w:val="000000" w:themeColor="text1"/>
        </w:rPr>
      </w:pPr>
      <w:hyperlink r:id="rId17">
        <w:r w:rsidR="7875C06F" w:rsidRPr="1F624E9C">
          <w:rPr>
            <w:rStyle w:val="Hyperlink"/>
            <w:rFonts w:ascii="Calibri" w:eastAsia="Calibri" w:hAnsi="Calibri" w:cs="Calibri"/>
          </w:rPr>
          <w:t>National Response Framework (fema.gov)</w:t>
        </w:r>
      </w:hyperlink>
      <w:r w:rsidR="7875C06F" w:rsidRPr="1F624E9C">
        <w:rPr>
          <w:rFonts w:ascii="Calibri" w:eastAsia="Calibri" w:hAnsi="Calibri" w:cs="Calibri"/>
          <w:color w:val="000000" w:themeColor="text1"/>
        </w:rPr>
        <w:t xml:space="preserve"> – see table beginning on printed p. 39/p. 45 of PDF- this outlines the 15 Emergency Response Functions and which agency is responsible for each one.</w:t>
      </w:r>
    </w:p>
    <w:p w14:paraId="315275DE" w14:textId="52DB9C00" w:rsidR="7875C06F" w:rsidRDefault="7875C06F" w:rsidP="1F624E9C">
      <w:pPr>
        <w:rPr>
          <w:rFonts w:ascii="Calibri" w:eastAsia="Calibri" w:hAnsi="Calibri" w:cs="Calibri"/>
          <w:color w:val="000000" w:themeColor="text1"/>
        </w:rPr>
      </w:pPr>
      <w:r w:rsidRPr="1F624E9C">
        <w:rPr>
          <w:rFonts w:ascii="Calibri" w:eastAsia="Calibri" w:hAnsi="Calibri" w:cs="Calibri"/>
          <w:color w:val="000000" w:themeColor="text1"/>
        </w:rPr>
        <w:t xml:space="preserve">Image of disaster cycle – eg, for framing our thinking about accounting as it relates to hazards preparedness/mitigation, response, and recovery….  </w:t>
      </w:r>
    </w:p>
    <w:p w14:paraId="0A444259" w14:textId="6B832C77" w:rsidR="7875C06F" w:rsidRDefault="7875C06F" w:rsidP="1F624E9C">
      <w:pPr>
        <w:rPr>
          <w:rFonts w:ascii="Calibri" w:eastAsia="Calibri" w:hAnsi="Calibri" w:cs="Calibri"/>
          <w:color w:val="000000" w:themeColor="text1"/>
        </w:rPr>
      </w:pPr>
      <w:r w:rsidRPr="1F624E9C">
        <w:rPr>
          <w:rFonts w:ascii="Calibri" w:eastAsia="Calibri" w:hAnsi="Calibri" w:cs="Calibri"/>
          <w:color w:val="000000" w:themeColor="text1"/>
        </w:rPr>
        <w:t xml:space="preserve">Many versions of this – one is in the National Disaster Recovery Framework (see </w:t>
      </w:r>
      <w:hyperlink r:id="rId18">
        <w:r w:rsidRPr="1F624E9C">
          <w:rPr>
            <w:rStyle w:val="Hyperlink"/>
            <w:rFonts w:ascii="Calibri" w:eastAsia="Calibri" w:hAnsi="Calibri" w:cs="Calibri"/>
          </w:rPr>
          <w:t>fig 1, p. 5 of printed PDF/p. 11 of PDF</w:t>
        </w:r>
      </w:hyperlink>
      <w:r w:rsidRPr="1F624E9C">
        <w:rPr>
          <w:rFonts w:ascii="Calibri" w:eastAsia="Calibri" w:hAnsi="Calibri" w:cs="Calibri"/>
          <w:color w:val="000000" w:themeColor="text1"/>
        </w:rPr>
        <w:t>)</w:t>
      </w:r>
    </w:p>
    <w:p w14:paraId="3FCA241B" w14:textId="486BD6F3" w:rsidR="7875C06F" w:rsidRDefault="00000000" w:rsidP="1F624E9C">
      <w:pPr>
        <w:rPr>
          <w:rFonts w:ascii="Calibri" w:eastAsia="Calibri" w:hAnsi="Calibri" w:cs="Calibri"/>
          <w:color w:val="000000" w:themeColor="text1"/>
        </w:rPr>
      </w:pPr>
      <w:hyperlink r:id="rId19">
        <w:r w:rsidR="7875C06F" w:rsidRPr="1F624E9C">
          <w:rPr>
            <w:rStyle w:val="Hyperlink"/>
            <w:rFonts w:ascii="Calibri" w:eastAsia="Calibri" w:hAnsi="Calibri" w:cs="Calibri"/>
          </w:rPr>
          <w:t>National Earthquake Hazards Reduction Program (fema.gov)</w:t>
        </w:r>
      </w:hyperlink>
    </w:p>
    <w:sectPr w:rsidR="7875C06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36B0E"/>
    <w:multiLevelType w:val="hybridMultilevel"/>
    <w:tmpl w:val="9A3EDC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B51CC4"/>
    <w:multiLevelType w:val="hybridMultilevel"/>
    <w:tmpl w:val="9AD8EEC0"/>
    <w:lvl w:ilvl="0" w:tplc="FBAEFDC6">
      <w:start w:val="1"/>
      <w:numFmt w:val="decimal"/>
      <w:lvlText w:val="%1."/>
      <w:lvlJc w:val="left"/>
      <w:pPr>
        <w:ind w:left="720" w:hanging="360"/>
      </w:pPr>
    </w:lvl>
    <w:lvl w:ilvl="1" w:tplc="1F88037E">
      <w:start w:val="1"/>
      <w:numFmt w:val="lowerLetter"/>
      <w:lvlText w:val="%2."/>
      <w:lvlJc w:val="left"/>
      <w:pPr>
        <w:ind w:left="1440" w:hanging="360"/>
      </w:pPr>
    </w:lvl>
    <w:lvl w:ilvl="2" w:tplc="6E3A0C74">
      <w:start w:val="1"/>
      <w:numFmt w:val="lowerRoman"/>
      <w:lvlText w:val="%3."/>
      <w:lvlJc w:val="right"/>
      <w:pPr>
        <w:ind w:left="2160" w:hanging="180"/>
      </w:pPr>
    </w:lvl>
    <w:lvl w:ilvl="3" w:tplc="FA3C8032">
      <w:start w:val="1"/>
      <w:numFmt w:val="decimal"/>
      <w:lvlText w:val="%4."/>
      <w:lvlJc w:val="left"/>
      <w:pPr>
        <w:ind w:left="2880" w:hanging="360"/>
      </w:pPr>
    </w:lvl>
    <w:lvl w:ilvl="4" w:tplc="82C40836">
      <w:start w:val="1"/>
      <w:numFmt w:val="lowerLetter"/>
      <w:lvlText w:val="%5."/>
      <w:lvlJc w:val="left"/>
      <w:pPr>
        <w:ind w:left="3600" w:hanging="360"/>
      </w:pPr>
    </w:lvl>
    <w:lvl w:ilvl="5" w:tplc="84DEACB0">
      <w:start w:val="1"/>
      <w:numFmt w:val="lowerRoman"/>
      <w:lvlText w:val="%6."/>
      <w:lvlJc w:val="right"/>
      <w:pPr>
        <w:ind w:left="4320" w:hanging="180"/>
      </w:pPr>
    </w:lvl>
    <w:lvl w:ilvl="6" w:tplc="7E46E206">
      <w:start w:val="1"/>
      <w:numFmt w:val="decimal"/>
      <w:lvlText w:val="%7."/>
      <w:lvlJc w:val="left"/>
      <w:pPr>
        <w:ind w:left="5040" w:hanging="360"/>
      </w:pPr>
    </w:lvl>
    <w:lvl w:ilvl="7" w:tplc="9BC8B89C">
      <w:start w:val="1"/>
      <w:numFmt w:val="lowerLetter"/>
      <w:lvlText w:val="%8."/>
      <w:lvlJc w:val="left"/>
      <w:pPr>
        <w:ind w:left="5760" w:hanging="360"/>
      </w:pPr>
    </w:lvl>
    <w:lvl w:ilvl="8" w:tplc="B46E7F66">
      <w:start w:val="1"/>
      <w:numFmt w:val="lowerRoman"/>
      <w:lvlText w:val="%9."/>
      <w:lvlJc w:val="right"/>
      <w:pPr>
        <w:ind w:left="6480" w:hanging="180"/>
      </w:pPr>
    </w:lvl>
  </w:abstractNum>
  <w:abstractNum w:abstractNumId="2" w15:restartNumberingAfterBreak="0">
    <w:nsid w:val="2FEF74B0"/>
    <w:multiLevelType w:val="hybridMultilevel"/>
    <w:tmpl w:val="A6101CDC"/>
    <w:lvl w:ilvl="0" w:tplc="79622C8C">
      <w:start w:val="1"/>
      <w:numFmt w:val="decimal"/>
      <w:lvlText w:val="%1."/>
      <w:lvlJc w:val="left"/>
      <w:pPr>
        <w:ind w:left="720" w:hanging="360"/>
      </w:pPr>
    </w:lvl>
    <w:lvl w:ilvl="1" w:tplc="8360912A">
      <w:start w:val="1"/>
      <w:numFmt w:val="lowerLetter"/>
      <w:lvlText w:val="%2."/>
      <w:lvlJc w:val="left"/>
      <w:pPr>
        <w:ind w:left="1440" w:hanging="360"/>
      </w:pPr>
    </w:lvl>
    <w:lvl w:ilvl="2" w:tplc="9D02BB28">
      <w:start w:val="1"/>
      <w:numFmt w:val="lowerRoman"/>
      <w:lvlText w:val="%3."/>
      <w:lvlJc w:val="right"/>
      <w:pPr>
        <w:ind w:left="2160" w:hanging="180"/>
      </w:pPr>
    </w:lvl>
    <w:lvl w:ilvl="3" w:tplc="858E17FA">
      <w:start w:val="1"/>
      <w:numFmt w:val="decimal"/>
      <w:lvlText w:val="%4."/>
      <w:lvlJc w:val="left"/>
      <w:pPr>
        <w:ind w:left="2880" w:hanging="360"/>
      </w:pPr>
    </w:lvl>
    <w:lvl w:ilvl="4" w:tplc="5B74D12E">
      <w:start w:val="1"/>
      <w:numFmt w:val="lowerLetter"/>
      <w:lvlText w:val="%5."/>
      <w:lvlJc w:val="left"/>
      <w:pPr>
        <w:ind w:left="3600" w:hanging="360"/>
      </w:pPr>
    </w:lvl>
    <w:lvl w:ilvl="5" w:tplc="474A7182">
      <w:start w:val="1"/>
      <w:numFmt w:val="lowerRoman"/>
      <w:lvlText w:val="%6."/>
      <w:lvlJc w:val="right"/>
      <w:pPr>
        <w:ind w:left="4320" w:hanging="180"/>
      </w:pPr>
    </w:lvl>
    <w:lvl w:ilvl="6" w:tplc="158E392E">
      <w:start w:val="1"/>
      <w:numFmt w:val="decimal"/>
      <w:lvlText w:val="%7."/>
      <w:lvlJc w:val="left"/>
      <w:pPr>
        <w:ind w:left="5040" w:hanging="360"/>
      </w:pPr>
    </w:lvl>
    <w:lvl w:ilvl="7" w:tplc="E53A5DAC">
      <w:start w:val="1"/>
      <w:numFmt w:val="lowerLetter"/>
      <w:lvlText w:val="%8."/>
      <w:lvlJc w:val="left"/>
      <w:pPr>
        <w:ind w:left="5760" w:hanging="360"/>
      </w:pPr>
    </w:lvl>
    <w:lvl w:ilvl="8" w:tplc="0682E4EE">
      <w:start w:val="1"/>
      <w:numFmt w:val="lowerRoman"/>
      <w:lvlText w:val="%9."/>
      <w:lvlJc w:val="right"/>
      <w:pPr>
        <w:ind w:left="6480" w:hanging="180"/>
      </w:pPr>
    </w:lvl>
  </w:abstractNum>
  <w:abstractNum w:abstractNumId="3" w15:restartNumberingAfterBreak="0">
    <w:nsid w:val="3CDC0C4C"/>
    <w:multiLevelType w:val="hybridMultilevel"/>
    <w:tmpl w:val="CB12E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B9704F"/>
    <w:multiLevelType w:val="hybridMultilevel"/>
    <w:tmpl w:val="AC4099E8"/>
    <w:lvl w:ilvl="0" w:tplc="005E95C6">
      <w:start w:val="1"/>
      <w:numFmt w:val="bullet"/>
      <w:lvlText w:val="-"/>
      <w:lvlJc w:val="left"/>
      <w:pPr>
        <w:ind w:left="720" w:hanging="360"/>
      </w:pPr>
      <w:rPr>
        <w:rFonts w:ascii="Calibri" w:hAnsi="Calibri" w:hint="default"/>
      </w:rPr>
    </w:lvl>
    <w:lvl w:ilvl="1" w:tplc="6BB6BE42">
      <w:start w:val="1"/>
      <w:numFmt w:val="bullet"/>
      <w:lvlText w:val="o"/>
      <w:lvlJc w:val="left"/>
      <w:pPr>
        <w:ind w:left="1440" w:hanging="360"/>
      </w:pPr>
      <w:rPr>
        <w:rFonts w:ascii="Courier New" w:hAnsi="Courier New" w:hint="default"/>
      </w:rPr>
    </w:lvl>
    <w:lvl w:ilvl="2" w:tplc="8618C98E">
      <w:start w:val="1"/>
      <w:numFmt w:val="bullet"/>
      <w:lvlText w:val=""/>
      <w:lvlJc w:val="left"/>
      <w:pPr>
        <w:ind w:left="2160" w:hanging="360"/>
      </w:pPr>
      <w:rPr>
        <w:rFonts w:ascii="Wingdings" w:hAnsi="Wingdings" w:hint="default"/>
      </w:rPr>
    </w:lvl>
    <w:lvl w:ilvl="3" w:tplc="D64A4E94">
      <w:start w:val="1"/>
      <w:numFmt w:val="bullet"/>
      <w:lvlText w:val=""/>
      <w:lvlJc w:val="left"/>
      <w:pPr>
        <w:ind w:left="2880" w:hanging="360"/>
      </w:pPr>
      <w:rPr>
        <w:rFonts w:ascii="Symbol" w:hAnsi="Symbol" w:hint="default"/>
      </w:rPr>
    </w:lvl>
    <w:lvl w:ilvl="4" w:tplc="172EB550">
      <w:start w:val="1"/>
      <w:numFmt w:val="bullet"/>
      <w:lvlText w:val="o"/>
      <w:lvlJc w:val="left"/>
      <w:pPr>
        <w:ind w:left="3600" w:hanging="360"/>
      </w:pPr>
      <w:rPr>
        <w:rFonts w:ascii="Courier New" w:hAnsi="Courier New" w:hint="default"/>
      </w:rPr>
    </w:lvl>
    <w:lvl w:ilvl="5" w:tplc="5F48A4E0">
      <w:start w:val="1"/>
      <w:numFmt w:val="bullet"/>
      <w:lvlText w:val=""/>
      <w:lvlJc w:val="left"/>
      <w:pPr>
        <w:ind w:left="4320" w:hanging="360"/>
      </w:pPr>
      <w:rPr>
        <w:rFonts w:ascii="Wingdings" w:hAnsi="Wingdings" w:hint="default"/>
      </w:rPr>
    </w:lvl>
    <w:lvl w:ilvl="6" w:tplc="A70606FE">
      <w:start w:val="1"/>
      <w:numFmt w:val="bullet"/>
      <w:lvlText w:val=""/>
      <w:lvlJc w:val="left"/>
      <w:pPr>
        <w:ind w:left="5040" w:hanging="360"/>
      </w:pPr>
      <w:rPr>
        <w:rFonts w:ascii="Symbol" w:hAnsi="Symbol" w:hint="default"/>
      </w:rPr>
    </w:lvl>
    <w:lvl w:ilvl="7" w:tplc="B21EC71A">
      <w:start w:val="1"/>
      <w:numFmt w:val="bullet"/>
      <w:lvlText w:val="o"/>
      <w:lvlJc w:val="left"/>
      <w:pPr>
        <w:ind w:left="5760" w:hanging="360"/>
      </w:pPr>
      <w:rPr>
        <w:rFonts w:ascii="Courier New" w:hAnsi="Courier New" w:hint="default"/>
      </w:rPr>
    </w:lvl>
    <w:lvl w:ilvl="8" w:tplc="D81423FE">
      <w:start w:val="1"/>
      <w:numFmt w:val="bullet"/>
      <w:lvlText w:val=""/>
      <w:lvlJc w:val="left"/>
      <w:pPr>
        <w:ind w:left="6480" w:hanging="360"/>
      </w:pPr>
      <w:rPr>
        <w:rFonts w:ascii="Wingdings" w:hAnsi="Wingdings" w:hint="default"/>
      </w:rPr>
    </w:lvl>
  </w:abstractNum>
  <w:num w:numId="1" w16cid:durableId="1020281556">
    <w:abstractNumId w:val="1"/>
  </w:num>
  <w:num w:numId="2" w16cid:durableId="790516594">
    <w:abstractNumId w:val="2"/>
  </w:num>
  <w:num w:numId="3" w16cid:durableId="783500594">
    <w:abstractNumId w:val="4"/>
  </w:num>
  <w:num w:numId="4" w16cid:durableId="2098317">
    <w:abstractNumId w:val="0"/>
  </w:num>
  <w:num w:numId="5" w16cid:durableId="50405117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145C"/>
    <w:rsid w:val="0002239A"/>
    <w:rsid w:val="00100B2D"/>
    <w:rsid w:val="001836B6"/>
    <w:rsid w:val="001B6809"/>
    <w:rsid w:val="004F3200"/>
    <w:rsid w:val="005947EE"/>
    <w:rsid w:val="006A72A9"/>
    <w:rsid w:val="007D145C"/>
    <w:rsid w:val="00904AAF"/>
    <w:rsid w:val="00A4706A"/>
    <w:rsid w:val="00A6720C"/>
    <w:rsid w:val="00E8180D"/>
    <w:rsid w:val="00F80F2F"/>
    <w:rsid w:val="06CAD1C4"/>
    <w:rsid w:val="1F624E9C"/>
    <w:rsid w:val="2953AA1B"/>
    <w:rsid w:val="2C4CB1D2"/>
    <w:rsid w:val="2CDB3BA3"/>
    <w:rsid w:val="41963F77"/>
    <w:rsid w:val="451C265C"/>
    <w:rsid w:val="47C6E300"/>
    <w:rsid w:val="5B904684"/>
    <w:rsid w:val="65AB5E52"/>
    <w:rsid w:val="7875C0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520D22"/>
  <w15:chartTrackingRefBased/>
  <w15:docId w15:val="{E53DC1A7-4A88-4ED4-999A-569E8C0AE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145C"/>
    <w:pPr>
      <w:ind w:left="720"/>
      <w:contextualSpacing/>
    </w:pPr>
  </w:style>
  <w:style w:type="table" w:styleId="TableGrid">
    <w:name w:val="Table Grid"/>
    <w:basedOn w:val="TableNormal"/>
    <w:uiPriority w:val="39"/>
    <w:rsid w:val="007D14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4F3200"/>
  </w:style>
  <w:style w:type="character" w:styleId="Hyperlink">
    <w:name w:val="Hyperlink"/>
    <w:basedOn w:val="DefaultParagraphFont"/>
    <w:uiPriority w:val="99"/>
    <w:semiHidden/>
    <w:unhideWhenUsed/>
    <w:rsid w:val="001B680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3552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drr.org/publication/hazard-definition-and-classification-review-technical-report" TargetMode="External"/><Relationship Id="rId13" Type="http://schemas.openxmlformats.org/officeDocument/2006/relationships/hyperlink" Target="https://gcc02.safelinks.protection.outlook.com/?url=https%3A%2F%2Fwww.nibs.org%2Fprojects%2Fnatural-hazard-mitigation-saves-2019-report&amp;data=05%7C01%7Ckjbagstad%40usgs.gov%7C20bfb8012af747aed54108dbe48c6c43%7C0693b5ba4b184d7b9341f32f400a5494%7C0%7C0%7C638355064008922865%7CUnknown%7CTWFpbGZsb3d8eyJWIjoiMC4wLjAwMDAiLCJQIjoiV2luMzIiLCJBTiI6Ik1haWwiLCJXVCI6Mn0%3D%7C3000%7C%7C%7C&amp;sdata=YNyV9vA%2Fb9%2FhSV0L0QcCbcth0Ydro0AaUcIi7rkODtc%3D&amp;reserved=0" TargetMode="External"/><Relationship Id="rId18" Type="http://schemas.openxmlformats.org/officeDocument/2006/relationships/hyperlink" Target="https://gcc02.safelinks.protection.outlook.com/?url=https%3A%2F%2Fwww.fema.gov%2Fsites%2Fdefault%2Ffiles%2F2020-09%2Fnational_disaster_recovery_framework_2nd-edition.pdf&amp;data=05%7C01%7Ckjbagstad%40usgs.gov%7C20bfb8012af747aed54108dbe48c6c43%7C0693b5ba4b184d7b9341f32f400a5494%7C0%7C0%7C638355064009079103%7CUnknown%7CTWFpbGZsb3d8eyJWIjoiMC4wLjAwMDAiLCJQIjoiV2luMzIiLCJBTiI6Ik1haWwiLCJXVCI6Mn0%3D%7C3000%7C%7C%7C&amp;sdata=3Oz9YAbrTn5vU8NYppv351G6Kpmw8QY9TQuq4%2BD%2BxzQ%3D&amp;reserved=0"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hyperlink" Target="https://gcc02.safelinks.protection.outlook.com/?url=https%3A%2F%2Fwww.fema.gov%2Fsites%2Fdefault%2Ffiles%2F2020-04%2FNRF_FINALApproved_2011028.pdf&amp;data=05%7C01%7Ckjbagstad%40usgs.gov%7C20bfb8012af747aed54108dbe48c6c43%7C0693b5ba4b184d7b9341f32f400a5494%7C0%7C0%7C638355064009079103%7CUnknown%7CTWFpbGZsb3d8eyJWIjoiMC4wLjAwMDAiLCJQIjoiV2luMzIiLCJBTiI6Ik1haWwiLCJXVCI6Mn0%3D%7C3000%7C%7C%7C&amp;sdata=xFcPNXne%2BFlXdfptwdJXXHiYrzyVqZWUgjU%2BW31%2B2oo%3D&amp;reserved=0" TargetMode="External"/><Relationship Id="rId2" Type="http://schemas.openxmlformats.org/officeDocument/2006/relationships/customXml" Target="../customXml/item2.xml"/><Relationship Id="rId16" Type="http://schemas.openxmlformats.org/officeDocument/2006/relationships/hyperlink" Target="https://gcc02.safelinks.protection.outlook.com/?url=https%3A%2F%2Fwww.fema.gov%2Femergency-managers%2Fnational-preparedness%2Fframeworks%2Fresponse&amp;data=05%7C01%7Ckjbagstad%40usgs.gov%7C20bfb8012af747aed54108dbe48c6c43%7C0693b5ba4b184d7b9341f32f400a5494%7C0%7C0%7C638355064008922865%7CUnknown%7CTWFpbGZsb3d8eyJWIjoiMC4wLjAwMDAiLCJQIjoiV2luMzIiLCJBTiI6Ik1haWwiLCJXVCI6Mn0%3D%7C3000%7C%7C%7C&amp;sdata=ZnKi1rVKZwpvUFu9jTiphRLjhjCJGh6pr2nKnz2bEXU%3D&amp;reserved=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link.springer.com/article/10.1007/s13280-019-01238-2" TargetMode="External"/><Relationship Id="rId5" Type="http://schemas.openxmlformats.org/officeDocument/2006/relationships/styles" Target="styles.xml"/><Relationship Id="rId15" Type="http://schemas.openxmlformats.org/officeDocument/2006/relationships/hyperlink" Target="https://gcc02.safelinks.protection.outlook.com/?url=https%3A%2F%2Fwww.whitehouse.gov%2Fwp-content%2Fuploads%2F2023%2F09%2FNational-Climate-Resilience-Framework-FINAL.pdf&amp;data=05%7C01%7Ckjbagstad%40usgs.gov%7C20bfb8012af747aed54108dbe48c6c43%7C0693b5ba4b184d7b9341f32f400a5494%7C0%7C0%7C638355064008922865%7CUnknown%7CTWFpbGZsb3d8eyJWIjoiMC4wLjAwMDAiLCJQIjoiV2luMzIiLCJBTiI6Ik1haWwiLCJXVCI6Mn0%3D%7C3000%7C%7C%7C&amp;sdata=n69uiphnTrN67VkW%2FP6B%2BB1mkOfedjTAWBgrSOvTntQ%3D&amp;reserved=0" TargetMode="External"/><Relationship Id="rId10" Type="http://schemas.openxmlformats.org/officeDocument/2006/relationships/hyperlink" Target="https://www.undrr.org/publication/hazard-definition-and-classification-review-technical-report" TargetMode="External"/><Relationship Id="rId19" Type="http://schemas.openxmlformats.org/officeDocument/2006/relationships/hyperlink" Target="https://gcc02.safelinks.protection.outlook.com/?url=https%3A%2F%2Ftraining.fema.gov%2Femiweb%2Fearthquake%2Fneh0101220.htm&amp;data=05%7C01%7Ckjbagstad%40usgs.gov%7C20bfb8012af747aed54108dbe48c6c43%7C0693b5ba4b184d7b9341f32f400a5494%7C0%7C0%7C638355064009079103%7CUnknown%7CTWFpbGZsb3d8eyJWIjoiMC4wLjAwMDAiLCJQIjoiV2luMzIiLCJBTiI6Ik1haWwiLCJXVCI6Mn0%3D%7C3000%7C%7C%7C&amp;sdata=bOfBjWjXORunUTkuhT%2Fyxr2YXnSNAvXqbV0rEL1Mdi0%3D&amp;reserved=0" TargetMode="External"/><Relationship Id="rId4" Type="http://schemas.openxmlformats.org/officeDocument/2006/relationships/numbering" Target="numbering.xml"/><Relationship Id="rId9" Type="http://schemas.openxmlformats.org/officeDocument/2006/relationships/image" Target="media/image1.png"/><Relationship Id="rId14" Type="http://schemas.openxmlformats.org/officeDocument/2006/relationships/hyperlink" Target="https://gcc02.safelinks.protection.outlook.com/?url=https%3A%2F%2Fwww.whitehouse.gov%2Fwp-content%2Fuploads%2F2023%2F03%2FResilience-Science-and-Technology-Grand-Pathways-Framework.pdf&amp;data=05%7C01%7Ckjbagstad%40usgs.gov%7C20bfb8012af747aed54108dbe48c6c43%7C0693b5ba4b184d7b9341f32f400a5494%7C0%7C0%7C638355064008922865%7CUnknown%7CTWFpbGZsb3d8eyJWIjoiMC4wLjAwMDAiLCJQIjoiV2luMzIiLCJBTiI6Ik1haWwiLCJXVCI6Mn0%3D%7C3000%7C%7C%7C&amp;sdata=2HiVoJaAn%2Bne4e3PSenmq1KHK9GcV1M2c%2FbXxVyeymA%3D&amp;reserved=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070499787F7DF4FBC4BC74C3B0DF53A" ma:contentTypeVersion="6" ma:contentTypeDescription="Create a new document." ma:contentTypeScope="" ma:versionID="ca7ae1142045d7c38217f17a724e042f">
  <xsd:schema xmlns:xsd="http://www.w3.org/2001/XMLSchema" xmlns:xs="http://www.w3.org/2001/XMLSchema" xmlns:p="http://schemas.microsoft.com/office/2006/metadata/properties" xmlns:ns2="5bc1dc30-cb0a-48b3-913c-11ee569cb733" xmlns:ns3="9e27e62e-4c1d-4efb-a30b-edc4c6e72291" targetNamespace="http://schemas.microsoft.com/office/2006/metadata/properties" ma:root="true" ma:fieldsID="ba60442dbbb0752a15a24f6504c48f31" ns2:_="" ns3:_="">
    <xsd:import namespace="5bc1dc30-cb0a-48b3-913c-11ee569cb733"/>
    <xsd:import namespace="9e27e62e-4c1d-4efb-a30b-edc4c6e722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c1dc30-cb0a-48b3-913c-11ee569cb7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27e62e-4c1d-4efb-a30b-edc4c6e7229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9ECCBF-7535-4AE4-B38D-CF720BB0D58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E5001BF-72B0-4A49-B4DE-941A3BCA89AF}">
  <ds:schemaRefs>
    <ds:schemaRef ds:uri="http://schemas.microsoft.com/sharepoint/v3/contenttype/forms"/>
  </ds:schemaRefs>
</ds:datastoreItem>
</file>

<file path=customXml/itemProps3.xml><?xml version="1.0" encoding="utf-8"?>
<ds:datastoreItem xmlns:ds="http://schemas.openxmlformats.org/officeDocument/2006/customXml" ds:itemID="{6F785B0F-66A3-408E-90E6-A8E7043F79AF}"/>
</file>

<file path=docProps/app.xml><?xml version="1.0" encoding="utf-8"?>
<Properties xmlns="http://schemas.openxmlformats.org/officeDocument/2006/extended-properties" xmlns:vt="http://schemas.openxmlformats.org/officeDocument/2006/docPropsVTypes">
  <Template>Normal</Template>
  <TotalTime>4051</TotalTime>
  <Pages>6</Pages>
  <Words>1916</Words>
  <Characters>10922</Characters>
  <Application>Microsoft Office Word</Application>
  <DocSecurity>0</DocSecurity>
  <Lines>91</Lines>
  <Paragraphs>25</Paragraphs>
  <ScaleCrop>false</ScaleCrop>
  <Company/>
  <LinksUpToDate>false</LinksUpToDate>
  <CharactersWithSpaces>12813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Gardner</dc:creator>
  <cp:keywords/>
  <dc:description/>
  <cp:lastModifiedBy>Crow</cp:lastModifiedBy>
  <cp:revision>8</cp:revision>
  <dcterms:created xsi:type="dcterms:W3CDTF">2023-11-21T16:03:00Z</dcterms:created>
  <dcterms:modified xsi:type="dcterms:W3CDTF">2023-12-11T22:10:00Z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0x0101007070499787F7DF4FBC4BC74C3B0DF53A</vt:lpwstr>
  </property>
</Properties>
</file>